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b/>
          <w:sz w:val="44"/>
          <w:szCs w:val="44"/>
        </w:rPr>
      </w:pPr>
      <w:r>
        <w:rPr>
          <w:rFonts w:hint="eastAsia" w:eastAsia="黑体"/>
          <w:b/>
          <w:sz w:val="44"/>
          <w:szCs w:val="44"/>
        </w:rPr>
        <w:t xml:space="preserve"> </w:t>
      </w:r>
    </w:p>
    <w:p>
      <w:pPr>
        <w:jc w:val="center"/>
        <w:rPr>
          <w:rFonts w:eastAsia="黑体"/>
          <w:b/>
          <w:sz w:val="44"/>
          <w:szCs w:val="44"/>
        </w:rPr>
      </w:pPr>
      <w:r>
        <w:rPr>
          <w:rFonts w:eastAsia="黑体"/>
          <w:b/>
          <w:sz w:val="44"/>
          <w:szCs w:val="44"/>
        </w:rPr>
        <w:t>《</w:t>
      </w:r>
      <w:r>
        <w:rPr>
          <w:rFonts w:hint="eastAsia" w:eastAsia="黑体"/>
          <w:b/>
          <w:sz w:val="44"/>
          <w:szCs w:val="44"/>
        </w:rPr>
        <w:t>栀子</w:t>
      </w:r>
      <w:r>
        <w:rPr>
          <w:rFonts w:eastAsia="黑体"/>
          <w:b/>
          <w:sz w:val="44"/>
          <w:szCs w:val="44"/>
        </w:rPr>
        <w:t>采收</w:t>
      </w:r>
      <w:r>
        <w:rPr>
          <w:rFonts w:hint="eastAsia" w:eastAsia="黑体"/>
          <w:b/>
          <w:sz w:val="44"/>
          <w:szCs w:val="44"/>
        </w:rPr>
        <w:t>与产地</w:t>
      </w:r>
      <w:r>
        <w:rPr>
          <w:rFonts w:eastAsia="黑体"/>
          <w:b/>
          <w:sz w:val="44"/>
          <w:szCs w:val="44"/>
        </w:rPr>
        <w:t>初加工技术</w:t>
      </w:r>
      <w:r>
        <w:rPr>
          <w:rFonts w:hint="eastAsia" w:eastAsia="黑体"/>
          <w:b/>
          <w:sz w:val="44"/>
          <w:szCs w:val="44"/>
        </w:rPr>
        <w:t>规程</w:t>
      </w:r>
      <w:r>
        <w:rPr>
          <w:rFonts w:eastAsia="黑体"/>
          <w:b/>
          <w:sz w:val="44"/>
          <w:szCs w:val="44"/>
        </w:rPr>
        <w:t>》</w:t>
      </w:r>
    </w:p>
    <w:p>
      <w:pPr>
        <w:jc w:val="center"/>
        <w:rPr>
          <w:rFonts w:eastAsia="黑体"/>
          <w:b/>
          <w:sz w:val="44"/>
          <w:szCs w:val="44"/>
        </w:rPr>
      </w:pPr>
      <w:r>
        <w:rPr>
          <w:rFonts w:hint="eastAsia" w:eastAsia="黑体"/>
          <w:b/>
          <w:sz w:val="44"/>
          <w:szCs w:val="44"/>
        </w:rPr>
        <w:t>湖南省地方标准</w:t>
      </w:r>
      <w:r>
        <w:rPr>
          <w:rFonts w:eastAsia="黑体"/>
          <w:b/>
          <w:sz w:val="44"/>
          <w:szCs w:val="44"/>
        </w:rPr>
        <w:t>编制说明</w:t>
      </w:r>
    </w:p>
    <w:p>
      <w:pPr>
        <w:jc w:val="center"/>
        <w:rPr>
          <w:rFonts w:hint="eastAsia" w:ascii="宋体" w:hAnsi="宋体" w:eastAsia="宋体" w:cs="黑体"/>
          <w:sz w:val="30"/>
          <w:szCs w:val="30"/>
          <w:lang w:eastAsia="zh-CN"/>
        </w:rPr>
      </w:pPr>
      <w:r>
        <w:rPr>
          <w:rFonts w:hint="eastAsia" w:ascii="宋体" w:hAnsi="宋体" w:eastAsia="宋体" w:cs="黑体"/>
          <w:sz w:val="30"/>
          <w:szCs w:val="30"/>
          <w:lang w:eastAsia="zh-CN"/>
        </w:rPr>
        <w:t>（征求意见稿）</w:t>
      </w:r>
    </w:p>
    <w:p>
      <w:pPr>
        <w:rPr>
          <w:rFonts w:ascii="宋体" w:hAnsi="宋体" w:eastAsia="宋体" w:cs="黑体"/>
          <w:szCs w:val="21"/>
        </w:rPr>
      </w:pPr>
      <w:bookmarkStart w:id="6" w:name="_GoBack"/>
      <w:bookmarkEnd w:id="6"/>
    </w:p>
    <w:p>
      <w:pPr>
        <w:spacing w:before="120" w:beforeLines="50" w:after="120" w:afterLines="50" w:line="360" w:lineRule="auto"/>
        <w:ind w:firstLine="602" w:firstLineChars="200"/>
        <w:rPr>
          <w:rFonts w:ascii="Times New Roman" w:hAnsi="Times New Roman" w:eastAsia="宋体" w:cs="Times New Roman"/>
          <w:b/>
          <w:bCs/>
          <w:sz w:val="30"/>
          <w:szCs w:val="30"/>
        </w:rPr>
      </w:pPr>
      <w:r>
        <w:rPr>
          <w:rFonts w:ascii="Times New Roman" w:hAnsi="Times New Roman" w:eastAsia="宋体" w:cs="Times New Roman"/>
          <w:b/>
          <w:bCs/>
          <w:sz w:val="30"/>
          <w:szCs w:val="30"/>
        </w:rPr>
        <w:t>一、工作简况</w:t>
      </w:r>
    </w:p>
    <w:p>
      <w:pPr>
        <w:snapToGrid w:val="0"/>
        <w:spacing w:line="360" w:lineRule="auto"/>
        <w:ind w:firstLine="562" w:firstLineChars="200"/>
        <w:rPr>
          <w:rFonts w:ascii="Times New Roman" w:hAnsi="Times New Roman" w:eastAsia="宋体" w:cs="Times New Roman"/>
          <w:b/>
          <w:sz w:val="28"/>
          <w:szCs w:val="28"/>
        </w:rPr>
      </w:pPr>
      <w:r>
        <w:rPr>
          <w:rFonts w:ascii="Times New Roman" w:hAnsi="Times New Roman" w:eastAsia="宋体" w:cs="Times New Roman"/>
          <w:b/>
          <w:sz w:val="28"/>
          <w:szCs w:val="28"/>
        </w:rPr>
        <w:t>1.标准项目的来源</w:t>
      </w:r>
    </w:p>
    <w:p>
      <w:pPr>
        <w:pStyle w:val="11"/>
        <w:spacing w:line="360" w:lineRule="auto"/>
        <w:ind w:firstLine="480"/>
        <w:rPr>
          <w:rFonts w:ascii="Times New Roman" w:hAnsi="Times New Roman" w:cs="Times New Roman"/>
          <w:sz w:val="24"/>
          <w:szCs w:val="24"/>
        </w:rPr>
      </w:pPr>
      <w:r>
        <w:rPr>
          <w:rFonts w:ascii="Times New Roman" w:hAnsi="Times New Roman" w:cs="Times New Roman"/>
          <w:sz w:val="24"/>
          <w:szCs w:val="24"/>
        </w:rPr>
        <w:t>本项目由湖南农业大学20</w:t>
      </w:r>
      <w:r>
        <w:rPr>
          <w:rFonts w:hint="eastAsia" w:ascii="Times New Roman" w:hAnsi="Times New Roman" w:cs="Times New Roman"/>
          <w:sz w:val="24"/>
          <w:szCs w:val="24"/>
        </w:rPr>
        <w:t>21</w:t>
      </w:r>
      <w:r>
        <w:rPr>
          <w:rFonts w:ascii="Times New Roman" w:hAnsi="Times New Roman" w:cs="Times New Roman"/>
          <w:sz w:val="24"/>
          <w:szCs w:val="24"/>
        </w:rPr>
        <w:t>年</w:t>
      </w:r>
      <w:r>
        <w:rPr>
          <w:rFonts w:hint="eastAsia" w:ascii="Times New Roman" w:hAnsi="Times New Roman" w:cs="Times New Roman"/>
          <w:sz w:val="24"/>
          <w:szCs w:val="24"/>
        </w:rPr>
        <w:t>10</w:t>
      </w:r>
      <w:r>
        <w:rPr>
          <w:rFonts w:ascii="Times New Roman" w:hAnsi="Times New Roman" w:cs="Times New Roman"/>
          <w:sz w:val="24"/>
          <w:szCs w:val="24"/>
        </w:rPr>
        <w:t>月向湖南省市场监督管理局申请，</w:t>
      </w:r>
      <w:r>
        <w:rPr>
          <w:rFonts w:ascii="Times New Roman"/>
          <w:sz w:val="24"/>
          <w:szCs w:val="24"/>
        </w:rPr>
        <w:t>于202</w:t>
      </w:r>
      <w:r>
        <w:rPr>
          <w:rFonts w:hint="eastAsia" w:ascii="Times New Roman"/>
          <w:sz w:val="24"/>
          <w:szCs w:val="24"/>
        </w:rPr>
        <w:t>2</w:t>
      </w:r>
      <w:r>
        <w:rPr>
          <w:rFonts w:ascii="Times New Roman"/>
          <w:sz w:val="24"/>
          <w:szCs w:val="24"/>
        </w:rPr>
        <w:t>年</w:t>
      </w:r>
      <w:r>
        <w:rPr>
          <w:rFonts w:hint="eastAsia" w:ascii="Times New Roman"/>
          <w:sz w:val="24"/>
          <w:szCs w:val="24"/>
        </w:rPr>
        <w:t>1</w:t>
      </w:r>
      <w:r>
        <w:rPr>
          <w:rFonts w:ascii="Times New Roman"/>
          <w:sz w:val="24"/>
          <w:szCs w:val="24"/>
        </w:rPr>
        <w:t>月</w:t>
      </w:r>
      <w:r>
        <w:rPr>
          <w:rFonts w:hint="eastAsia" w:ascii="Times New Roman"/>
          <w:sz w:val="24"/>
          <w:szCs w:val="24"/>
        </w:rPr>
        <w:t>以《湖南省市场监督管理局关于下达</w:t>
      </w:r>
      <w:r>
        <w:rPr>
          <w:rFonts w:ascii="Times New Roman"/>
          <w:sz w:val="24"/>
          <w:szCs w:val="24"/>
        </w:rPr>
        <w:t xml:space="preserve"> 2022 年第一批地方标准制修订</w:t>
      </w:r>
      <w:r>
        <w:rPr>
          <w:rFonts w:hint="eastAsia" w:ascii="Times New Roman"/>
          <w:sz w:val="24"/>
          <w:szCs w:val="24"/>
        </w:rPr>
        <w:t>项目计划的通知》文件</w:t>
      </w:r>
      <w:r>
        <w:rPr>
          <w:rFonts w:ascii="Times New Roman"/>
          <w:sz w:val="24"/>
          <w:szCs w:val="24"/>
        </w:rPr>
        <w:t>批准立项</w:t>
      </w:r>
      <w:r>
        <w:rPr>
          <w:rFonts w:ascii="Times New Roman" w:hAnsi="Times New Roman" w:cs="Times New Roman"/>
          <w:sz w:val="24"/>
          <w:szCs w:val="24"/>
        </w:rPr>
        <w:t>，项目起止时间为202</w:t>
      </w:r>
      <w:r>
        <w:rPr>
          <w:rFonts w:hint="eastAsia" w:ascii="Times New Roman" w:hAnsi="Times New Roman" w:cs="Times New Roman"/>
          <w:sz w:val="24"/>
          <w:szCs w:val="24"/>
        </w:rPr>
        <w:t>2</w:t>
      </w:r>
      <w:r>
        <w:rPr>
          <w:rFonts w:ascii="Times New Roman" w:hAnsi="Times New Roman" w:cs="Times New Roman"/>
          <w:sz w:val="24"/>
          <w:szCs w:val="24"/>
        </w:rPr>
        <w:t>年1月至202</w:t>
      </w:r>
      <w:r>
        <w:rPr>
          <w:rFonts w:hint="eastAsia" w:ascii="Times New Roman" w:hAnsi="Times New Roman" w:cs="Times New Roman"/>
          <w:sz w:val="24"/>
          <w:szCs w:val="24"/>
        </w:rPr>
        <w:t>2</w:t>
      </w:r>
      <w:r>
        <w:rPr>
          <w:rFonts w:ascii="Times New Roman" w:hAnsi="Times New Roman" w:cs="Times New Roman"/>
          <w:sz w:val="24"/>
          <w:szCs w:val="24"/>
        </w:rPr>
        <w:t>年12月。</w:t>
      </w:r>
    </w:p>
    <w:p>
      <w:pPr>
        <w:snapToGrid w:val="0"/>
        <w:spacing w:line="360" w:lineRule="auto"/>
        <w:ind w:firstLine="562" w:firstLineChars="200"/>
        <w:rPr>
          <w:rFonts w:ascii="Times New Roman" w:hAnsi="Times New Roman" w:eastAsia="宋体" w:cs="Times New Roman"/>
          <w:b/>
          <w:sz w:val="28"/>
          <w:szCs w:val="28"/>
        </w:rPr>
      </w:pPr>
      <w:r>
        <w:rPr>
          <w:rFonts w:ascii="Times New Roman" w:hAnsi="Times New Roman" w:eastAsia="宋体" w:cs="Times New Roman"/>
          <w:b/>
          <w:sz w:val="28"/>
          <w:szCs w:val="28"/>
        </w:rPr>
        <w:t>2.起草单位、协作单位</w:t>
      </w:r>
    </w:p>
    <w:p>
      <w:pPr>
        <w:autoSpaceDE w:val="0"/>
        <w:autoSpaceDN w:val="0"/>
        <w:adjustRightInd w:val="0"/>
        <w:snapToGrid w:val="0"/>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湖南农业大学是该规程编制的主要承担单位，整体负责起草。</w:t>
      </w:r>
      <w:r>
        <w:rPr>
          <w:rFonts w:hint="eastAsia" w:ascii="Times New Roman" w:hAnsi="Times New Roman" w:eastAsia="宋体" w:cs="Times New Roman"/>
          <w:sz w:val="24"/>
          <w:szCs w:val="24"/>
        </w:rPr>
        <w:t>湖南华夏湘众药业饮片有限公司、湖南省中药材产业协会、湖南省农业科学院、湖南旭达药业有限公司</w:t>
      </w:r>
      <w:r>
        <w:rPr>
          <w:rFonts w:ascii="Times New Roman" w:hAnsi="Times New Roman" w:eastAsia="宋体" w:cs="Times New Roman"/>
          <w:sz w:val="24"/>
          <w:szCs w:val="24"/>
        </w:rPr>
        <w:t>均是</w:t>
      </w:r>
      <w:r>
        <w:rPr>
          <w:rFonts w:hint="eastAsia" w:ascii="Times New Roman" w:hAnsi="Times New Roman" w:eastAsia="宋体" w:cs="Times New Roman"/>
          <w:sz w:val="24"/>
          <w:szCs w:val="24"/>
        </w:rPr>
        <w:t>栀子</w:t>
      </w:r>
      <w:r>
        <w:rPr>
          <w:rFonts w:ascii="Times New Roman" w:hAnsi="Times New Roman" w:eastAsia="宋体" w:cs="Times New Roman"/>
          <w:sz w:val="24"/>
          <w:szCs w:val="24"/>
        </w:rPr>
        <w:t>采收与产地初加工技术</w:t>
      </w:r>
      <w:r>
        <w:rPr>
          <w:rFonts w:hint="eastAsia" w:ascii="Times New Roman" w:hAnsi="Times New Roman" w:eastAsia="宋体" w:cs="Times New Roman"/>
          <w:sz w:val="24"/>
          <w:szCs w:val="24"/>
        </w:rPr>
        <w:t>规程</w:t>
      </w:r>
      <w:r>
        <w:rPr>
          <w:rFonts w:ascii="Times New Roman" w:hAnsi="Times New Roman" w:eastAsia="宋体" w:cs="Times New Roman"/>
          <w:sz w:val="24"/>
          <w:szCs w:val="24"/>
        </w:rPr>
        <w:t>研究和示范推广单位，协助起草本</w:t>
      </w:r>
      <w:r>
        <w:rPr>
          <w:rFonts w:hint="eastAsia" w:ascii="Times New Roman" w:hAnsi="Times New Roman" w:eastAsia="宋体" w:cs="Times New Roman"/>
          <w:sz w:val="24"/>
          <w:szCs w:val="24"/>
        </w:rPr>
        <w:t>文件</w:t>
      </w:r>
      <w:r>
        <w:rPr>
          <w:rFonts w:ascii="Times New Roman" w:hAnsi="Times New Roman" w:eastAsia="宋体" w:cs="Times New Roman"/>
          <w:sz w:val="24"/>
          <w:szCs w:val="24"/>
        </w:rPr>
        <w:t>，并提出了极其宝贵的意见和建议。</w:t>
      </w:r>
    </w:p>
    <w:p>
      <w:pPr>
        <w:snapToGrid w:val="0"/>
        <w:spacing w:line="360" w:lineRule="auto"/>
        <w:ind w:firstLine="562" w:firstLineChars="200"/>
        <w:rPr>
          <w:rFonts w:ascii="Times New Roman" w:hAnsi="Times New Roman" w:eastAsia="宋体" w:cs="Times New Roman"/>
          <w:b/>
          <w:sz w:val="28"/>
          <w:szCs w:val="28"/>
        </w:rPr>
      </w:pPr>
      <w:r>
        <w:rPr>
          <w:rFonts w:ascii="Times New Roman" w:hAnsi="Times New Roman" w:eastAsia="宋体" w:cs="Times New Roman"/>
          <w:b/>
          <w:sz w:val="28"/>
          <w:szCs w:val="28"/>
        </w:rPr>
        <w:t>3.主要起草人及分工</w:t>
      </w:r>
    </w:p>
    <w:p>
      <w:pPr>
        <w:pStyle w:val="11"/>
        <w:spacing w:line="360" w:lineRule="auto"/>
        <w:ind w:firstLine="480" w:firstLineChars="0"/>
        <w:rPr>
          <w:rFonts w:ascii="Times New Roman" w:hAnsi="Times New Roman" w:cs="Times New Roman"/>
          <w:sz w:val="24"/>
          <w:szCs w:val="24"/>
        </w:rPr>
      </w:pPr>
      <w:r>
        <w:rPr>
          <w:rFonts w:ascii="Times New Roman" w:hAnsi="Times New Roman" w:cs="Times New Roman"/>
          <w:sz w:val="24"/>
          <w:szCs w:val="24"/>
        </w:rPr>
        <w:t>项目负责人谢红旗为湖南农业大学教授</w:t>
      </w:r>
      <w:r>
        <w:rPr>
          <w:rFonts w:hint="eastAsia" w:ascii="Times New Roman" w:hAnsi="Times New Roman" w:cs="Times New Roman"/>
          <w:sz w:val="24"/>
          <w:szCs w:val="24"/>
        </w:rPr>
        <w:t>，湖南省中药材产业技术体系采收与产地初加工岗位专家，湖南省中药材产业协会初加工与饮片专业委员会主任委员，</w:t>
      </w:r>
      <w:r>
        <w:rPr>
          <w:rFonts w:ascii="Times New Roman" w:hAnsi="Times New Roman" w:cs="Times New Roman"/>
          <w:sz w:val="24"/>
          <w:szCs w:val="24"/>
        </w:rPr>
        <w:t>从事</w:t>
      </w:r>
      <w:r>
        <w:rPr>
          <w:rFonts w:hint="eastAsia" w:ascii="Times New Roman" w:hAnsi="Times New Roman" w:cs="Times New Roman"/>
          <w:sz w:val="24"/>
          <w:szCs w:val="24"/>
        </w:rPr>
        <w:t>中药材产地初加工技术</w:t>
      </w:r>
      <w:r>
        <w:rPr>
          <w:rFonts w:ascii="Times New Roman" w:hAnsi="Times New Roman" w:cs="Times New Roman"/>
          <w:sz w:val="24"/>
          <w:szCs w:val="24"/>
        </w:rPr>
        <w:t>研究和社会服务多年，熟悉</w:t>
      </w:r>
      <w:r>
        <w:rPr>
          <w:rFonts w:hint="eastAsia" w:ascii="Times New Roman" w:hAnsi="Times New Roman" w:cs="Times New Roman"/>
          <w:sz w:val="24"/>
          <w:szCs w:val="24"/>
        </w:rPr>
        <w:t>杜仲</w:t>
      </w:r>
      <w:r>
        <w:rPr>
          <w:rFonts w:ascii="Times New Roman" w:hAnsi="Times New Roman" w:cs="Times New Roman"/>
          <w:sz w:val="24"/>
          <w:szCs w:val="24"/>
        </w:rPr>
        <w:t>采收与初加工生产的关键技术和环节。项目组成员参与</w:t>
      </w:r>
      <w:r>
        <w:rPr>
          <w:rFonts w:hint="eastAsia" w:ascii="Times New Roman" w:hAnsi="Times New Roman" w:cs="Times New Roman"/>
          <w:sz w:val="24"/>
          <w:szCs w:val="24"/>
        </w:rPr>
        <w:t>石菖蒲</w:t>
      </w:r>
      <w:r>
        <w:rPr>
          <w:rFonts w:ascii="Times New Roman" w:hAnsi="Times New Roman" w:cs="Times New Roman"/>
          <w:sz w:val="24"/>
          <w:szCs w:val="24"/>
        </w:rPr>
        <w:t>采收与产地初加工技术相关研究与生产，</w:t>
      </w:r>
      <w:r>
        <w:rPr>
          <w:rFonts w:hint="eastAsia" w:ascii="Times New Roman" w:hAnsi="Times New Roman" w:cs="Times New Roman"/>
          <w:sz w:val="24"/>
          <w:szCs w:val="24"/>
        </w:rPr>
        <w:t>近年来负责人所在项目组先后承担了国家科技支撑课题“基于鲜药材产地初加工技术与设备”、国家中药材产业技术体系采收及产地初加工岗位、湖南省中药材产业技术体系采收与产地初加工岗位、科技厅“百合、山银花等中药材采收与产地初加工研究与示范”项目、科技厅“湘九味产地初加工及湘产药材区划研究”等项目。</w:t>
      </w:r>
      <w:r>
        <w:rPr>
          <w:rFonts w:ascii="Times New Roman" w:hAnsi="Times New Roman" w:cs="Times New Roman"/>
          <w:sz w:val="24"/>
          <w:szCs w:val="24"/>
        </w:rPr>
        <w:t>并有参加相关标准编制的经历和工作经验，</w:t>
      </w:r>
      <w:r>
        <w:rPr>
          <w:rFonts w:hint="eastAsia" w:ascii="Times New Roman" w:hAnsi="Times New Roman" w:cs="Times New Roman"/>
          <w:sz w:val="24"/>
          <w:szCs w:val="24"/>
        </w:rPr>
        <w:t>先后完成了百合、黄精、山银花、枳壳、博落回、玄参、吴茱萸等品种的采收与产地初加工技术规程湖南省地方标准的编制。</w:t>
      </w:r>
    </w:p>
    <w:p>
      <w:pPr>
        <w:pStyle w:val="11"/>
        <w:spacing w:line="360" w:lineRule="auto"/>
        <w:ind w:firstLine="480" w:firstLineChars="0"/>
        <w:rPr>
          <w:rFonts w:ascii="Times New Roman" w:hAnsi="Times New Roman" w:cs="Times New Roman"/>
          <w:sz w:val="24"/>
          <w:szCs w:val="24"/>
        </w:rPr>
      </w:pPr>
    </w:p>
    <w:p>
      <w:pPr>
        <w:pStyle w:val="11"/>
        <w:spacing w:line="360" w:lineRule="auto"/>
        <w:ind w:firstLine="0" w:firstLineChars="0"/>
        <w:jc w:val="center"/>
        <w:rPr>
          <w:rFonts w:ascii="Times New Roman" w:hAnsi="Times New Roman" w:eastAsia="黑体" w:cs="Times New Roman"/>
          <w:szCs w:val="21"/>
        </w:rPr>
      </w:pPr>
      <w:r>
        <w:rPr>
          <w:rFonts w:ascii="Times New Roman" w:hAnsi="Times New Roman" w:eastAsia="黑体" w:cs="Times New Roman"/>
          <w:szCs w:val="21"/>
        </w:rPr>
        <w:t>表1 项目主要参与单位及人员分工</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5"/>
        <w:gridCol w:w="700"/>
        <w:gridCol w:w="1355"/>
        <w:gridCol w:w="2504"/>
        <w:gridCol w:w="2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vAlign w:val="center"/>
          </w:tcPr>
          <w:p>
            <w:pPr>
              <w:jc w:val="center"/>
              <w:rPr>
                <w:rFonts w:ascii="宋体" w:hAnsi="宋体" w:eastAsia="宋体" w:cs="Times New Roman"/>
                <w:sz w:val="24"/>
                <w:szCs w:val="24"/>
              </w:rPr>
            </w:pPr>
            <w:r>
              <w:rPr>
                <w:rFonts w:ascii="宋体" w:hAnsi="宋体" w:eastAsia="宋体" w:cs="Times New Roman"/>
                <w:sz w:val="24"/>
                <w:szCs w:val="24"/>
              </w:rPr>
              <w:t>姓名</w:t>
            </w:r>
          </w:p>
        </w:tc>
        <w:tc>
          <w:tcPr>
            <w:tcW w:w="709" w:type="dxa"/>
            <w:vAlign w:val="center"/>
          </w:tcPr>
          <w:p>
            <w:pPr>
              <w:jc w:val="center"/>
              <w:rPr>
                <w:rFonts w:ascii="宋体" w:hAnsi="宋体" w:eastAsia="宋体" w:cs="Times New Roman"/>
                <w:sz w:val="24"/>
                <w:szCs w:val="24"/>
              </w:rPr>
            </w:pPr>
            <w:r>
              <w:rPr>
                <w:rFonts w:ascii="宋体" w:hAnsi="宋体" w:eastAsia="宋体" w:cs="Times New Roman"/>
                <w:sz w:val="24"/>
                <w:szCs w:val="24"/>
              </w:rPr>
              <w:t>性别</w:t>
            </w:r>
          </w:p>
        </w:tc>
        <w:tc>
          <w:tcPr>
            <w:tcW w:w="1389" w:type="dxa"/>
            <w:vAlign w:val="center"/>
          </w:tcPr>
          <w:p>
            <w:pPr>
              <w:jc w:val="center"/>
              <w:rPr>
                <w:rFonts w:ascii="宋体" w:hAnsi="宋体" w:eastAsia="宋体" w:cs="Times New Roman"/>
                <w:sz w:val="24"/>
                <w:szCs w:val="24"/>
              </w:rPr>
            </w:pPr>
            <w:r>
              <w:rPr>
                <w:rFonts w:ascii="宋体" w:hAnsi="宋体" w:eastAsia="宋体" w:cs="Times New Roman"/>
                <w:sz w:val="24"/>
                <w:szCs w:val="24"/>
              </w:rPr>
              <w:t>职务/职称</w:t>
            </w:r>
          </w:p>
        </w:tc>
        <w:tc>
          <w:tcPr>
            <w:tcW w:w="2580" w:type="dxa"/>
            <w:vAlign w:val="center"/>
          </w:tcPr>
          <w:p>
            <w:pPr>
              <w:jc w:val="center"/>
              <w:rPr>
                <w:rFonts w:ascii="宋体" w:hAnsi="宋体" w:eastAsia="宋体" w:cs="Times New Roman"/>
                <w:sz w:val="24"/>
                <w:szCs w:val="24"/>
              </w:rPr>
            </w:pPr>
            <w:r>
              <w:rPr>
                <w:rFonts w:ascii="宋体" w:hAnsi="宋体" w:eastAsia="宋体" w:cs="Times New Roman"/>
                <w:sz w:val="24"/>
                <w:szCs w:val="24"/>
              </w:rPr>
              <w:t>项目任务分工</w:t>
            </w:r>
          </w:p>
        </w:tc>
        <w:tc>
          <w:tcPr>
            <w:tcW w:w="2948" w:type="dxa"/>
            <w:vAlign w:val="center"/>
          </w:tcPr>
          <w:p>
            <w:pPr>
              <w:jc w:val="center"/>
              <w:rPr>
                <w:rFonts w:ascii="宋体" w:hAnsi="宋体" w:eastAsia="宋体" w:cs="Times New Roman"/>
                <w:sz w:val="24"/>
                <w:szCs w:val="24"/>
              </w:rPr>
            </w:pPr>
            <w:r>
              <w:rPr>
                <w:rFonts w:ascii="宋体" w:hAnsi="宋体" w:eastAsia="宋体" w:cs="Times New Roman"/>
                <w:sz w:val="24"/>
                <w:szCs w:val="24"/>
              </w:rPr>
              <w:t>所在单位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vAlign w:val="center"/>
          </w:tcPr>
          <w:p>
            <w:pPr>
              <w:jc w:val="center"/>
              <w:rPr>
                <w:rFonts w:ascii="宋体" w:hAnsi="宋体" w:eastAsia="宋体" w:cs="Times New Roman"/>
                <w:sz w:val="24"/>
                <w:szCs w:val="24"/>
              </w:rPr>
            </w:pPr>
            <w:r>
              <w:rPr>
                <w:rFonts w:hint="eastAsia" w:ascii="宋体" w:hAnsi="宋体" w:eastAsia="宋体" w:cs="Times New Roman"/>
                <w:sz w:val="24"/>
                <w:szCs w:val="24"/>
              </w:rPr>
              <w:t>谢红旗</w:t>
            </w:r>
          </w:p>
        </w:tc>
        <w:tc>
          <w:tcPr>
            <w:tcW w:w="709" w:type="dxa"/>
            <w:vAlign w:val="center"/>
          </w:tcPr>
          <w:p>
            <w:pPr>
              <w:jc w:val="center"/>
              <w:rPr>
                <w:rFonts w:ascii="宋体" w:hAnsi="宋体" w:eastAsia="宋体" w:cs="Times New Roman"/>
                <w:sz w:val="24"/>
                <w:szCs w:val="24"/>
              </w:rPr>
            </w:pPr>
            <w:r>
              <w:rPr>
                <w:rFonts w:ascii="宋体" w:hAnsi="宋体" w:eastAsia="宋体" w:cs="Times New Roman"/>
                <w:sz w:val="24"/>
                <w:szCs w:val="24"/>
              </w:rPr>
              <w:t>男</w:t>
            </w:r>
          </w:p>
        </w:tc>
        <w:tc>
          <w:tcPr>
            <w:tcW w:w="1389" w:type="dxa"/>
            <w:vAlign w:val="center"/>
          </w:tcPr>
          <w:p>
            <w:pPr>
              <w:jc w:val="center"/>
              <w:rPr>
                <w:rFonts w:ascii="宋体" w:hAnsi="宋体" w:eastAsia="宋体" w:cs="Times New Roman"/>
                <w:sz w:val="24"/>
                <w:szCs w:val="24"/>
              </w:rPr>
            </w:pPr>
            <w:r>
              <w:rPr>
                <w:rFonts w:ascii="宋体" w:hAnsi="宋体" w:eastAsia="宋体" w:cs="Times New Roman"/>
                <w:sz w:val="24"/>
                <w:szCs w:val="24"/>
              </w:rPr>
              <w:t>教授</w:t>
            </w:r>
          </w:p>
        </w:tc>
        <w:tc>
          <w:tcPr>
            <w:tcW w:w="2580" w:type="dxa"/>
            <w:vAlign w:val="center"/>
          </w:tcPr>
          <w:p>
            <w:pPr>
              <w:jc w:val="center"/>
              <w:rPr>
                <w:rFonts w:ascii="宋体" w:hAnsi="宋体" w:eastAsia="宋体" w:cs="Times New Roman"/>
                <w:sz w:val="24"/>
                <w:szCs w:val="24"/>
              </w:rPr>
            </w:pPr>
            <w:r>
              <w:rPr>
                <w:rFonts w:hint="eastAsia" w:ascii="宋体" w:hAnsi="宋体" w:eastAsia="宋体" w:cs="Times New Roman"/>
                <w:sz w:val="24"/>
                <w:szCs w:val="24"/>
              </w:rPr>
              <w:t>技术规程编制</w:t>
            </w:r>
          </w:p>
        </w:tc>
        <w:tc>
          <w:tcPr>
            <w:tcW w:w="2948" w:type="dxa"/>
            <w:vAlign w:val="center"/>
          </w:tcPr>
          <w:p>
            <w:pPr>
              <w:jc w:val="center"/>
              <w:rPr>
                <w:rFonts w:ascii="宋体" w:hAnsi="宋体" w:eastAsia="宋体" w:cs="Times New Roman"/>
                <w:sz w:val="24"/>
                <w:szCs w:val="24"/>
              </w:rPr>
            </w:pPr>
            <w:r>
              <w:rPr>
                <w:rFonts w:ascii="宋体" w:hAnsi="宋体" w:eastAsia="宋体" w:cs="Times New Roman"/>
                <w:sz w:val="24"/>
                <w:szCs w:val="24"/>
              </w:rPr>
              <w:t>湖南农业大学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vAlign w:val="center"/>
          </w:tcPr>
          <w:p>
            <w:pPr>
              <w:jc w:val="center"/>
              <w:rPr>
                <w:rFonts w:ascii="宋体" w:hAnsi="宋体" w:eastAsia="宋体" w:cs="Times New Roman"/>
                <w:sz w:val="24"/>
                <w:szCs w:val="24"/>
              </w:rPr>
            </w:pPr>
            <w:r>
              <w:rPr>
                <w:rFonts w:hint="eastAsia" w:ascii="宋体" w:hAnsi="宋体" w:eastAsia="宋体" w:cs="Times New Roman"/>
                <w:sz w:val="24"/>
                <w:szCs w:val="24"/>
              </w:rPr>
              <w:t>曾建国</w:t>
            </w:r>
          </w:p>
        </w:tc>
        <w:tc>
          <w:tcPr>
            <w:tcW w:w="709" w:type="dxa"/>
            <w:vAlign w:val="center"/>
          </w:tcPr>
          <w:p>
            <w:pPr>
              <w:jc w:val="center"/>
              <w:rPr>
                <w:rFonts w:ascii="宋体" w:hAnsi="宋体" w:eastAsia="宋体" w:cs="Times New Roman"/>
                <w:sz w:val="24"/>
                <w:szCs w:val="24"/>
              </w:rPr>
            </w:pPr>
            <w:r>
              <w:rPr>
                <w:rFonts w:ascii="宋体" w:hAnsi="宋体" w:eastAsia="宋体" w:cs="Times New Roman"/>
                <w:sz w:val="24"/>
                <w:szCs w:val="24"/>
              </w:rPr>
              <w:t>男</w:t>
            </w:r>
          </w:p>
        </w:tc>
        <w:tc>
          <w:tcPr>
            <w:tcW w:w="1389" w:type="dxa"/>
            <w:vAlign w:val="center"/>
          </w:tcPr>
          <w:p>
            <w:pPr>
              <w:jc w:val="center"/>
              <w:rPr>
                <w:rFonts w:ascii="宋体" w:hAnsi="宋体" w:eastAsia="宋体" w:cs="Times New Roman"/>
                <w:sz w:val="24"/>
                <w:szCs w:val="24"/>
              </w:rPr>
            </w:pPr>
            <w:r>
              <w:rPr>
                <w:rFonts w:ascii="宋体" w:hAnsi="宋体" w:eastAsia="宋体" w:cs="Times New Roman"/>
                <w:sz w:val="24"/>
                <w:szCs w:val="24"/>
              </w:rPr>
              <w:t>教授</w:t>
            </w:r>
          </w:p>
        </w:tc>
        <w:tc>
          <w:tcPr>
            <w:tcW w:w="2580" w:type="dxa"/>
            <w:vAlign w:val="center"/>
          </w:tcPr>
          <w:p>
            <w:pPr>
              <w:jc w:val="center"/>
              <w:rPr>
                <w:rFonts w:ascii="宋体" w:hAnsi="宋体" w:eastAsia="宋体" w:cs="Times New Roman"/>
                <w:sz w:val="24"/>
                <w:szCs w:val="24"/>
              </w:rPr>
            </w:pPr>
            <w:r>
              <w:rPr>
                <w:rFonts w:hint="eastAsia" w:ascii="宋体" w:hAnsi="宋体" w:eastAsia="宋体" w:cs="Times New Roman"/>
                <w:sz w:val="24"/>
                <w:szCs w:val="24"/>
              </w:rPr>
              <w:t>技术规程编制</w:t>
            </w:r>
          </w:p>
        </w:tc>
        <w:tc>
          <w:tcPr>
            <w:tcW w:w="2948" w:type="dxa"/>
            <w:vAlign w:val="center"/>
          </w:tcPr>
          <w:p>
            <w:pPr>
              <w:jc w:val="center"/>
              <w:rPr>
                <w:rFonts w:ascii="宋体" w:hAnsi="宋体" w:eastAsia="宋体" w:cs="Times New Roman"/>
                <w:sz w:val="24"/>
                <w:szCs w:val="24"/>
              </w:rPr>
            </w:pPr>
            <w:r>
              <w:rPr>
                <w:rFonts w:ascii="宋体" w:hAnsi="宋体" w:eastAsia="宋体" w:cs="Times New Roman"/>
                <w:sz w:val="24"/>
                <w:szCs w:val="24"/>
              </w:rPr>
              <w:t>湖南农业大学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vAlign w:val="center"/>
          </w:tcPr>
          <w:p>
            <w:pPr>
              <w:jc w:val="center"/>
              <w:rPr>
                <w:rFonts w:ascii="宋体" w:hAnsi="宋体" w:eastAsia="宋体" w:cs="Times New Roman"/>
                <w:sz w:val="24"/>
                <w:szCs w:val="24"/>
              </w:rPr>
            </w:pPr>
            <w:r>
              <w:rPr>
                <w:rFonts w:hint="eastAsia" w:ascii="宋体" w:hAnsi="宋体" w:eastAsia="宋体" w:cs="Times New Roman"/>
                <w:color w:val="333333"/>
                <w:sz w:val="24"/>
                <w:szCs w:val="24"/>
                <w:shd w:val="clear" w:color="auto" w:fill="FFFFFF"/>
              </w:rPr>
              <w:t>陆英</w:t>
            </w:r>
          </w:p>
        </w:tc>
        <w:tc>
          <w:tcPr>
            <w:tcW w:w="709" w:type="dxa"/>
            <w:vAlign w:val="center"/>
          </w:tcPr>
          <w:p>
            <w:pPr>
              <w:jc w:val="center"/>
              <w:rPr>
                <w:rFonts w:ascii="宋体" w:hAnsi="宋体" w:eastAsia="宋体" w:cs="Times New Roman"/>
                <w:sz w:val="24"/>
                <w:szCs w:val="24"/>
              </w:rPr>
            </w:pPr>
            <w:r>
              <w:rPr>
                <w:rFonts w:hint="eastAsia" w:ascii="宋体" w:hAnsi="宋体" w:eastAsia="宋体" w:cs="Times New Roman"/>
                <w:sz w:val="24"/>
                <w:szCs w:val="24"/>
              </w:rPr>
              <w:t>女</w:t>
            </w:r>
          </w:p>
        </w:tc>
        <w:tc>
          <w:tcPr>
            <w:tcW w:w="1389" w:type="dxa"/>
            <w:vAlign w:val="center"/>
          </w:tcPr>
          <w:p>
            <w:pPr>
              <w:jc w:val="center"/>
              <w:rPr>
                <w:rFonts w:ascii="宋体" w:hAnsi="宋体" w:eastAsia="宋体" w:cs="Times New Roman"/>
                <w:sz w:val="24"/>
                <w:szCs w:val="24"/>
              </w:rPr>
            </w:pPr>
            <w:r>
              <w:rPr>
                <w:rFonts w:ascii="宋体" w:hAnsi="宋体" w:eastAsia="宋体" w:cs="Times New Roman"/>
                <w:sz w:val="24"/>
                <w:szCs w:val="24"/>
              </w:rPr>
              <w:t>副教授</w:t>
            </w:r>
          </w:p>
        </w:tc>
        <w:tc>
          <w:tcPr>
            <w:tcW w:w="2580" w:type="dxa"/>
            <w:vAlign w:val="center"/>
          </w:tcPr>
          <w:p>
            <w:pPr>
              <w:jc w:val="center"/>
              <w:rPr>
                <w:rFonts w:ascii="宋体" w:hAnsi="宋体" w:eastAsia="宋体" w:cs="Times New Roman"/>
                <w:sz w:val="24"/>
                <w:szCs w:val="24"/>
              </w:rPr>
            </w:pPr>
            <w:r>
              <w:rPr>
                <w:rFonts w:hint="eastAsia" w:ascii="宋体" w:hAnsi="宋体" w:eastAsia="宋体" w:cs="Times New Roman"/>
                <w:sz w:val="24"/>
                <w:szCs w:val="24"/>
              </w:rPr>
              <w:t>数据分析</w:t>
            </w:r>
          </w:p>
        </w:tc>
        <w:tc>
          <w:tcPr>
            <w:tcW w:w="2948" w:type="dxa"/>
            <w:vAlign w:val="center"/>
          </w:tcPr>
          <w:p>
            <w:pPr>
              <w:jc w:val="center"/>
              <w:rPr>
                <w:rFonts w:ascii="宋体" w:hAnsi="宋体" w:eastAsia="宋体" w:cs="Times New Roman"/>
                <w:sz w:val="24"/>
                <w:szCs w:val="24"/>
              </w:rPr>
            </w:pPr>
            <w:r>
              <w:rPr>
                <w:rFonts w:hint="eastAsia" w:ascii="宋体" w:hAnsi="宋体" w:eastAsia="宋体" w:cs="Times New Roman"/>
                <w:sz w:val="24"/>
                <w:szCs w:val="24"/>
              </w:rPr>
              <w:t>湖南农业大学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vAlign w:val="center"/>
          </w:tcPr>
          <w:p>
            <w:pPr>
              <w:jc w:val="center"/>
              <w:rPr>
                <w:rFonts w:ascii="宋体" w:hAnsi="宋体" w:eastAsia="宋体" w:cs="Times New Roman"/>
                <w:color w:val="333333"/>
                <w:sz w:val="24"/>
                <w:szCs w:val="24"/>
                <w:shd w:val="clear" w:color="auto" w:fill="FFFFFF"/>
              </w:rPr>
            </w:pPr>
            <w:r>
              <w:rPr>
                <w:rFonts w:hint="eastAsia" w:ascii="宋体" w:hAnsi="宋体" w:eastAsia="宋体" w:cs="Times New Roman"/>
                <w:color w:val="333333"/>
                <w:sz w:val="24"/>
                <w:szCs w:val="24"/>
                <w:shd w:val="clear" w:color="auto" w:fill="FFFFFF"/>
              </w:rPr>
              <w:t>向维</w:t>
            </w:r>
          </w:p>
        </w:tc>
        <w:tc>
          <w:tcPr>
            <w:tcW w:w="709" w:type="dxa"/>
            <w:vAlign w:val="center"/>
          </w:tcPr>
          <w:p>
            <w:pPr>
              <w:jc w:val="center"/>
              <w:rPr>
                <w:rFonts w:ascii="宋体" w:hAnsi="宋体" w:eastAsia="宋体" w:cs="Times New Roman"/>
                <w:sz w:val="24"/>
                <w:szCs w:val="24"/>
              </w:rPr>
            </w:pPr>
            <w:r>
              <w:rPr>
                <w:rFonts w:hint="eastAsia" w:ascii="宋体" w:hAnsi="宋体" w:eastAsia="宋体" w:cs="Times New Roman"/>
                <w:sz w:val="24"/>
                <w:szCs w:val="24"/>
              </w:rPr>
              <w:t>男</w:t>
            </w:r>
          </w:p>
        </w:tc>
        <w:tc>
          <w:tcPr>
            <w:tcW w:w="1389" w:type="dxa"/>
            <w:vAlign w:val="center"/>
          </w:tcPr>
          <w:p>
            <w:pPr>
              <w:jc w:val="center"/>
              <w:rPr>
                <w:rFonts w:ascii="宋体" w:hAnsi="宋体" w:eastAsia="宋体" w:cs="Times New Roman"/>
                <w:sz w:val="24"/>
                <w:szCs w:val="24"/>
              </w:rPr>
            </w:pPr>
            <w:r>
              <w:rPr>
                <w:rFonts w:ascii="宋体" w:hAnsi="宋体" w:eastAsia="宋体" w:cs="Times New Roman"/>
                <w:sz w:val="24"/>
                <w:szCs w:val="24"/>
              </w:rPr>
              <w:t>讲师</w:t>
            </w:r>
          </w:p>
        </w:tc>
        <w:tc>
          <w:tcPr>
            <w:tcW w:w="2580" w:type="dxa"/>
            <w:vAlign w:val="center"/>
          </w:tcPr>
          <w:p>
            <w:pPr>
              <w:jc w:val="center"/>
              <w:rPr>
                <w:rFonts w:ascii="宋体" w:hAnsi="宋体" w:eastAsia="宋体" w:cs="Times New Roman"/>
                <w:sz w:val="24"/>
                <w:szCs w:val="24"/>
              </w:rPr>
            </w:pPr>
            <w:r>
              <w:rPr>
                <w:rFonts w:hint="eastAsia" w:ascii="宋体" w:hAnsi="宋体" w:eastAsia="宋体" w:cs="Times New Roman"/>
                <w:sz w:val="24"/>
                <w:szCs w:val="24"/>
              </w:rPr>
              <w:t>工艺验证</w:t>
            </w:r>
          </w:p>
        </w:tc>
        <w:tc>
          <w:tcPr>
            <w:tcW w:w="2948" w:type="dxa"/>
            <w:vAlign w:val="center"/>
          </w:tcPr>
          <w:p>
            <w:pPr>
              <w:jc w:val="center"/>
              <w:rPr>
                <w:rFonts w:ascii="宋体" w:hAnsi="宋体" w:eastAsia="宋体" w:cs="Times New Roman"/>
                <w:sz w:val="24"/>
                <w:szCs w:val="24"/>
              </w:rPr>
            </w:pPr>
            <w:r>
              <w:rPr>
                <w:rFonts w:hint="eastAsia" w:ascii="宋体" w:hAnsi="宋体" w:eastAsia="宋体" w:cs="Times New Roman"/>
                <w:sz w:val="24"/>
                <w:szCs w:val="24"/>
              </w:rPr>
              <w:t>湖南农业大学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vAlign w:val="center"/>
          </w:tcPr>
          <w:p>
            <w:pPr>
              <w:jc w:val="center"/>
              <w:rPr>
                <w:rFonts w:ascii="宋体" w:hAnsi="宋体" w:eastAsia="宋体" w:cs="Times New Roman"/>
                <w:color w:val="333333"/>
                <w:sz w:val="24"/>
                <w:szCs w:val="24"/>
                <w:shd w:val="clear" w:color="auto" w:fill="FFFFFF"/>
              </w:rPr>
            </w:pPr>
            <w:r>
              <w:rPr>
                <w:rFonts w:hint="eastAsia" w:ascii="宋体" w:hAnsi="宋体" w:eastAsia="宋体" w:cs="Times New Roman"/>
                <w:color w:val="333333"/>
                <w:sz w:val="24"/>
                <w:szCs w:val="24"/>
                <w:shd w:val="clear" w:color="auto" w:fill="FFFFFF"/>
              </w:rPr>
              <w:t>唐旭阳</w:t>
            </w:r>
          </w:p>
        </w:tc>
        <w:tc>
          <w:tcPr>
            <w:tcW w:w="709" w:type="dxa"/>
            <w:vAlign w:val="center"/>
          </w:tcPr>
          <w:p>
            <w:pPr>
              <w:jc w:val="center"/>
              <w:rPr>
                <w:rFonts w:ascii="宋体" w:hAnsi="宋体" w:eastAsia="宋体" w:cs="Times New Roman"/>
                <w:sz w:val="24"/>
                <w:szCs w:val="24"/>
              </w:rPr>
            </w:pPr>
            <w:r>
              <w:rPr>
                <w:rFonts w:ascii="宋体" w:hAnsi="宋体" w:eastAsia="宋体" w:cs="Times New Roman"/>
                <w:sz w:val="24"/>
                <w:szCs w:val="24"/>
              </w:rPr>
              <w:t>男</w:t>
            </w:r>
          </w:p>
        </w:tc>
        <w:tc>
          <w:tcPr>
            <w:tcW w:w="1389" w:type="dxa"/>
            <w:vAlign w:val="center"/>
          </w:tcPr>
          <w:p>
            <w:pPr>
              <w:jc w:val="center"/>
              <w:rPr>
                <w:rFonts w:ascii="宋体" w:hAnsi="宋体" w:eastAsia="宋体" w:cs="Times New Roman"/>
                <w:sz w:val="24"/>
                <w:szCs w:val="24"/>
              </w:rPr>
            </w:pPr>
            <w:r>
              <w:rPr>
                <w:rFonts w:ascii="宋体" w:hAnsi="宋体" w:eastAsia="宋体" w:cs="Times New Roman"/>
                <w:sz w:val="24"/>
                <w:szCs w:val="24"/>
              </w:rPr>
              <w:t>研究生</w:t>
            </w:r>
          </w:p>
        </w:tc>
        <w:tc>
          <w:tcPr>
            <w:tcW w:w="2580" w:type="dxa"/>
            <w:vAlign w:val="center"/>
          </w:tcPr>
          <w:p>
            <w:pPr>
              <w:jc w:val="center"/>
              <w:rPr>
                <w:rFonts w:ascii="宋体" w:hAnsi="宋体" w:eastAsia="宋体" w:cs="Times New Roman"/>
                <w:sz w:val="24"/>
                <w:szCs w:val="24"/>
              </w:rPr>
            </w:pPr>
            <w:r>
              <w:rPr>
                <w:rFonts w:hint="eastAsia" w:ascii="宋体" w:hAnsi="宋体" w:eastAsia="宋体" w:cs="Times New Roman"/>
                <w:sz w:val="24"/>
                <w:szCs w:val="24"/>
              </w:rPr>
              <w:t>试验验证</w:t>
            </w:r>
          </w:p>
        </w:tc>
        <w:tc>
          <w:tcPr>
            <w:tcW w:w="2948" w:type="dxa"/>
            <w:vAlign w:val="center"/>
          </w:tcPr>
          <w:p>
            <w:pPr>
              <w:jc w:val="center"/>
              <w:rPr>
                <w:rFonts w:ascii="宋体" w:hAnsi="宋体" w:eastAsia="宋体" w:cs="Times New Roman"/>
                <w:sz w:val="24"/>
                <w:szCs w:val="24"/>
              </w:rPr>
            </w:pPr>
            <w:r>
              <w:rPr>
                <w:rFonts w:ascii="宋体" w:hAnsi="宋体" w:eastAsia="宋体" w:cs="Times New Roman"/>
                <w:sz w:val="24"/>
                <w:szCs w:val="24"/>
              </w:rPr>
              <w:t>湖南农业大学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vAlign w:val="center"/>
          </w:tcPr>
          <w:p>
            <w:pPr>
              <w:jc w:val="center"/>
              <w:rPr>
                <w:rFonts w:ascii="宋体" w:hAnsi="宋体" w:eastAsia="宋体" w:cs="Times New Roman"/>
                <w:color w:val="333333"/>
                <w:sz w:val="24"/>
                <w:szCs w:val="24"/>
                <w:shd w:val="clear" w:color="auto" w:fill="FFFFFF"/>
              </w:rPr>
            </w:pPr>
            <w:r>
              <w:rPr>
                <w:rFonts w:hint="eastAsia" w:ascii="宋体" w:hAnsi="宋体" w:eastAsia="宋体" w:cs="Times New Roman"/>
                <w:color w:val="333333"/>
                <w:sz w:val="24"/>
                <w:szCs w:val="24"/>
                <w:shd w:val="clear" w:color="auto" w:fill="FFFFFF"/>
              </w:rPr>
              <w:t>黄凯</w:t>
            </w:r>
          </w:p>
        </w:tc>
        <w:tc>
          <w:tcPr>
            <w:tcW w:w="709" w:type="dxa"/>
            <w:vAlign w:val="center"/>
          </w:tcPr>
          <w:p>
            <w:pPr>
              <w:jc w:val="center"/>
              <w:rPr>
                <w:rFonts w:ascii="宋体" w:hAnsi="宋体" w:eastAsia="宋体" w:cs="Times New Roman"/>
                <w:sz w:val="24"/>
                <w:szCs w:val="24"/>
              </w:rPr>
            </w:pPr>
            <w:r>
              <w:rPr>
                <w:rFonts w:ascii="宋体" w:hAnsi="宋体" w:eastAsia="宋体" w:cs="Times New Roman"/>
                <w:sz w:val="24"/>
                <w:szCs w:val="24"/>
              </w:rPr>
              <w:t>男</w:t>
            </w:r>
          </w:p>
        </w:tc>
        <w:tc>
          <w:tcPr>
            <w:tcW w:w="1389" w:type="dxa"/>
            <w:vAlign w:val="center"/>
          </w:tcPr>
          <w:p>
            <w:pPr>
              <w:jc w:val="center"/>
              <w:rPr>
                <w:rFonts w:ascii="宋体" w:hAnsi="宋体" w:eastAsia="宋体" w:cs="Times New Roman"/>
                <w:sz w:val="24"/>
                <w:szCs w:val="24"/>
              </w:rPr>
            </w:pPr>
            <w:r>
              <w:rPr>
                <w:rFonts w:ascii="宋体" w:hAnsi="宋体" w:eastAsia="宋体" w:cs="Times New Roman"/>
                <w:sz w:val="24"/>
                <w:szCs w:val="24"/>
              </w:rPr>
              <w:t>研究生</w:t>
            </w:r>
          </w:p>
        </w:tc>
        <w:tc>
          <w:tcPr>
            <w:tcW w:w="2580" w:type="dxa"/>
            <w:vAlign w:val="center"/>
          </w:tcPr>
          <w:p>
            <w:pPr>
              <w:jc w:val="center"/>
              <w:rPr>
                <w:rFonts w:ascii="宋体" w:hAnsi="宋体" w:eastAsia="宋体" w:cs="Times New Roman"/>
                <w:sz w:val="24"/>
                <w:szCs w:val="24"/>
              </w:rPr>
            </w:pPr>
            <w:r>
              <w:rPr>
                <w:rFonts w:hint="eastAsia" w:ascii="宋体" w:hAnsi="宋体" w:eastAsia="宋体" w:cs="Times New Roman"/>
                <w:sz w:val="24"/>
                <w:szCs w:val="24"/>
              </w:rPr>
              <w:t>试验验证</w:t>
            </w:r>
          </w:p>
        </w:tc>
        <w:tc>
          <w:tcPr>
            <w:tcW w:w="2948" w:type="dxa"/>
            <w:vAlign w:val="center"/>
          </w:tcPr>
          <w:p>
            <w:pPr>
              <w:jc w:val="center"/>
              <w:rPr>
                <w:rFonts w:ascii="宋体" w:hAnsi="宋体" w:eastAsia="宋体" w:cs="Times New Roman"/>
                <w:sz w:val="24"/>
                <w:szCs w:val="24"/>
              </w:rPr>
            </w:pPr>
            <w:r>
              <w:rPr>
                <w:rFonts w:ascii="宋体" w:hAnsi="宋体" w:eastAsia="宋体" w:cs="Times New Roman"/>
                <w:sz w:val="24"/>
                <w:szCs w:val="24"/>
              </w:rPr>
              <w:t>湖南农业大学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vAlign w:val="center"/>
          </w:tcPr>
          <w:p>
            <w:pPr>
              <w:jc w:val="center"/>
              <w:rPr>
                <w:rFonts w:ascii="宋体" w:hAnsi="宋体" w:eastAsia="宋体" w:cs="Times New Roman"/>
                <w:sz w:val="24"/>
                <w:szCs w:val="24"/>
              </w:rPr>
            </w:pPr>
            <w:r>
              <w:rPr>
                <w:rFonts w:hint="eastAsia" w:ascii="宋体" w:hAnsi="宋体" w:eastAsia="宋体" w:cs="Times New Roman"/>
                <w:color w:val="333333"/>
                <w:sz w:val="24"/>
                <w:szCs w:val="24"/>
                <w:shd w:val="clear" w:color="auto" w:fill="FFFFFF"/>
              </w:rPr>
              <w:t>周伊昀</w:t>
            </w:r>
          </w:p>
        </w:tc>
        <w:tc>
          <w:tcPr>
            <w:tcW w:w="709" w:type="dxa"/>
            <w:vAlign w:val="center"/>
          </w:tcPr>
          <w:p>
            <w:pPr>
              <w:jc w:val="center"/>
              <w:rPr>
                <w:rFonts w:ascii="宋体" w:hAnsi="宋体" w:eastAsia="宋体" w:cs="Times New Roman"/>
                <w:sz w:val="24"/>
                <w:szCs w:val="24"/>
              </w:rPr>
            </w:pPr>
            <w:r>
              <w:rPr>
                <w:rFonts w:hint="eastAsia" w:ascii="宋体" w:hAnsi="宋体" w:eastAsia="宋体" w:cs="Times New Roman"/>
                <w:sz w:val="24"/>
                <w:szCs w:val="24"/>
              </w:rPr>
              <w:t>女</w:t>
            </w:r>
          </w:p>
        </w:tc>
        <w:tc>
          <w:tcPr>
            <w:tcW w:w="1389" w:type="dxa"/>
            <w:vAlign w:val="center"/>
          </w:tcPr>
          <w:p>
            <w:pPr>
              <w:jc w:val="center"/>
              <w:rPr>
                <w:rFonts w:ascii="宋体" w:hAnsi="宋体" w:eastAsia="宋体" w:cs="Times New Roman"/>
                <w:sz w:val="24"/>
                <w:szCs w:val="24"/>
              </w:rPr>
            </w:pPr>
            <w:r>
              <w:rPr>
                <w:rFonts w:hint="eastAsia" w:ascii="宋体" w:hAnsi="宋体" w:eastAsia="宋体" w:cs="Times New Roman"/>
                <w:sz w:val="24"/>
                <w:szCs w:val="24"/>
              </w:rPr>
              <w:t>总经理</w:t>
            </w:r>
          </w:p>
        </w:tc>
        <w:tc>
          <w:tcPr>
            <w:tcW w:w="2580" w:type="dxa"/>
            <w:vAlign w:val="center"/>
          </w:tcPr>
          <w:p>
            <w:pPr>
              <w:jc w:val="center"/>
              <w:rPr>
                <w:rFonts w:ascii="宋体" w:hAnsi="宋体" w:eastAsia="宋体" w:cs="Times New Roman"/>
                <w:sz w:val="24"/>
                <w:szCs w:val="24"/>
              </w:rPr>
            </w:pPr>
            <w:r>
              <w:rPr>
                <w:rFonts w:hint="eastAsia" w:ascii="宋体" w:hAnsi="宋体" w:eastAsia="宋体" w:cs="Times New Roman"/>
                <w:sz w:val="24"/>
                <w:szCs w:val="24"/>
              </w:rPr>
              <w:t>工艺验证</w:t>
            </w:r>
          </w:p>
        </w:tc>
        <w:tc>
          <w:tcPr>
            <w:tcW w:w="2948" w:type="dxa"/>
            <w:vAlign w:val="center"/>
          </w:tcPr>
          <w:p>
            <w:pPr>
              <w:jc w:val="center"/>
              <w:rPr>
                <w:rFonts w:ascii="宋体" w:hAnsi="宋体" w:eastAsia="宋体" w:cs="Times New Roman"/>
                <w:sz w:val="24"/>
                <w:szCs w:val="24"/>
              </w:rPr>
            </w:pPr>
            <w:r>
              <w:rPr>
                <w:rFonts w:ascii="宋体" w:hAnsi="宋体" w:eastAsia="宋体" w:cs="Times New Roman"/>
                <w:sz w:val="24"/>
                <w:szCs w:val="24"/>
              </w:rPr>
              <w:t>湖南华夏湘众药业饮片有限公司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vAlign w:val="center"/>
          </w:tcPr>
          <w:p>
            <w:pPr>
              <w:jc w:val="center"/>
              <w:rPr>
                <w:rFonts w:ascii="宋体" w:hAnsi="宋体" w:eastAsia="宋体" w:cs="Times New Roman"/>
                <w:color w:val="333333"/>
                <w:sz w:val="24"/>
                <w:szCs w:val="24"/>
                <w:shd w:val="clear" w:color="auto" w:fill="FFFFFF"/>
              </w:rPr>
            </w:pPr>
            <w:r>
              <w:rPr>
                <w:rFonts w:hint="eastAsia" w:ascii="宋体" w:hAnsi="宋体" w:eastAsia="宋体" w:cs="Times New Roman"/>
                <w:color w:val="333333"/>
                <w:sz w:val="24"/>
                <w:szCs w:val="24"/>
                <w:shd w:val="clear" w:color="auto" w:fill="FFFFFF"/>
              </w:rPr>
              <w:t>田永志</w:t>
            </w:r>
          </w:p>
        </w:tc>
        <w:tc>
          <w:tcPr>
            <w:tcW w:w="709" w:type="dxa"/>
            <w:vAlign w:val="center"/>
          </w:tcPr>
          <w:p>
            <w:pPr>
              <w:jc w:val="center"/>
              <w:rPr>
                <w:rFonts w:ascii="宋体" w:hAnsi="宋体" w:eastAsia="宋体" w:cs="Times New Roman"/>
                <w:sz w:val="24"/>
                <w:szCs w:val="24"/>
              </w:rPr>
            </w:pPr>
            <w:r>
              <w:rPr>
                <w:rFonts w:hint="eastAsia" w:ascii="宋体" w:hAnsi="宋体" w:eastAsia="宋体" w:cs="Times New Roman"/>
                <w:sz w:val="24"/>
                <w:szCs w:val="24"/>
              </w:rPr>
              <w:t>男</w:t>
            </w:r>
          </w:p>
        </w:tc>
        <w:tc>
          <w:tcPr>
            <w:tcW w:w="1389" w:type="dxa"/>
            <w:vAlign w:val="center"/>
          </w:tcPr>
          <w:p>
            <w:pPr>
              <w:jc w:val="center"/>
              <w:rPr>
                <w:rFonts w:ascii="宋体" w:hAnsi="宋体" w:eastAsia="宋体" w:cs="Times New Roman"/>
                <w:sz w:val="24"/>
                <w:szCs w:val="24"/>
              </w:rPr>
            </w:pPr>
            <w:r>
              <w:rPr>
                <w:rFonts w:hint="eastAsia" w:ascii="宋体" w:hAnsi="宋体" w:eastAsia="宋体" w:cs="Times New Roman"/>
                <w:sz w:val="24"/>
                <w:szCs w:val="24"/>
              </w:rPr>
              <w:t>董事长</w:t>
            </w:r>
          </w:p>
        </w:tc>
        <w:tc>
          <w:tcPr>
            <w:tcW w:w="2580" w:type="dxa"/>
            <w:vAlign w:val="center"/>
          </w:tcPr>
          <w:p>
            <w:pPr>
              <w:jc w:val="center"/>
              <w:rPr>
                <w:rFonts w:ascii="宋体" w:hAnsi="宋体" w:eastAsia="宋体" w:cs="Times New Roman"/>
                <w:sz w:val="24"/>
                <w:szCs w:val="24"/>
              </w:rPr>
            </w:pPr>
            <w:r>
              <w:rPr>
                <w:rFonts w:hint="eastAsia" w:ascii="宋体" w:hAnsi="宋体" w:eastAsia="宋体" w:cs="Times New Roman"/>
                <w:sz w:val="24"/>
                <w:szCs w:val="24"/>
              </w:rPr>
              <w:t>工艺验证</w:t>
            </w:r>
          </w:p>
        </w:tc>
        <w:tc>
          <w:tcPr>
            <w:tcW w:w="2948" w:type="dxa"/>
            <w:vAlign w:val="center"/>
          </w:tcPr>
          <w:p>
            <w:pPr>
              <w:jc w:val="center"/>
              <w:rPr>
                <w:rFonts w:ascii="宋体" w:hAnsi="宋体" w:eastAsia="宋体" w:cs="Times New Roman"/>
                <w:sz w:val="24"/>
                <w:szCs w:val="24"/>
              </w:rPr>
            </w:pPr>
            <w:r>
              <w:rPr>
                <w:rFonts w:ascii="宋体" w:hAnsi="宋体" w:eastAsia="宋体" w:cs="Times New Roman"/>
                <w:sz w:val="24"/>
                <w:szCs w:val="24"/>
              </w:rPr>
              <w:t>湖南华夏湘众药业饮片有限公司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vAlign w:val="center"/>
          </w:tcPr>
          <w:p>
            <w:pPr>
              <w:jc w:val="center"/>
              <w:rPr>
                <w:rFonts w:ascii="宋体" w:hAnsi="宋体" w:eastAsia="宋体" w:cs="Times New Roman"/>
                <w:color w:val="333333"/>
                <w:sz w:val="24"/>
                <w:szCs w:val="24"/>
                <w:shd w:val="clear" w:color="auto" w:fill="FFFFFF"/>
              </w:rPr>
            </w:pPr>
            <w:r>
              <w:rPr>
                <w:rFonts w:hint="eastAsia" w:ascii="宋体" w:hAnsi="宋体" w:eastAsia="宋体" w:cs="Times New Roman"/>
                <w:color w:val="333333"/>
                <w:sz w:val="24"/>
                <w:szCs w:val="24"/>
                <w:shd w:val="clear" w:color="auto" w:fill="FFFFFF"/>
              </w:rPr>
              <w:t>杨子墨</w:t>
            </w:r>
          </w:p>
        </w:tc>
        <w:tc>
          <w:tcPr>
            <w:tcW w:w="709" w:type="dxa"/>
            <w:vAlign w:val="center"/>
          </w:tcPr>
          <w:p>
            <w:pPr>
              <w:jc w:val="center"/>
              <w:rPr>
                <w:rFonts w:ascii="宋体" w:hAnsi="宋体" w:eastAsia="宋体" w:cs="Times New Roman"/>
                <w:sz w:val="24"/>
                <w:szCs w:val="24"/>
              </w:rPr>
            </w:pPr>
            <w:r>
              <w:rPr>
                <w:rFonts w:ascii="宋体" w:hAnsi="宋体" w:eastAsia="宋体" w:cs="Times New Roman"/>
                <w:sz w:val="24"/>
                <w:szCs w:val="24"/>
              </w:rPr>
              <w:t>女</w:t>
            </w:r>
          </w:p>
        </w:tc>
        <w:tc>
          <w:tcPr>
            <w:tcW w:w="1389" w:type="dxa"/>
            <w:vAlign w:val="center"/>
          </w:tcPr>
          <w:p>
            <w:pPr>
              <w:jc w:val="center"/>
              <w:rPr>
                <w:rFonts w:ascii="宋体" w:hAnsi="宋体" w:eastAsia="宋体" w:cs="Times New Roman"/>
                <w:sz w:val="24"/>
                <w:szCs w:val="24"/>
              </w:rPr>
            </w:pPr>
            <w:r>
              <w:rPr>
                <w:rFonts w:hint="eastAsia" w:ascii="宋体" w:hAnsi="宋体" w:eastAsia="宋体" w:cs="Times New Roman"/>
                <w:sz w:val="24"/>
                <w:szCs w:val="24"/>
              </w:rPr>
              <w:t>秘书长</w:t>
            </w:r>
          </w:p>
        </w:tc>
        <w:tc>
          <w:tcPr>
            <w:tcW w:w="2580" w:type="dxa"/>
            <w:vAlign w:val="center"/>
          </w:tcPr>
          <w:p>
            <w:pPr>
              <w:jc w:val="center"/>
              <w:rPr>
                <w:rFonts w:ascii="宋体" w:hAnsi="宋体" w:eastAsia="宋体" w:cs="Times New Roman"/>
                <w:sz w:val="24"/>
                <w:szCs w:val="24"/>
              </w:rPr>
            </w:pPr>
            <w:r>
              <w:rPr>
                <w:rFonts w:hint="eastAsia" w:ascii="宋体" w:hAnsi="宋体" w:eastAsia="宋体" w:cs="Times New Roman"/>
                <w:sz w:val="24"/>
                <w:szCs w:val="24"/>
              </w:rPr>
              <w:t>调查分析</w:t>
            </w:r>
          </w:p>
        </w:tc>
        <w:tc>
          <w:tcPr>
            <w:tcW w:w="2948" w:type="dxa"/>
            <w:vAlign w:val="center"/>
          </w:tcPr>
          <w:p>
            <w:pPr>
              <w:jc w:val="center"/>
              <w:rPr>
                <w:rFonts w:ascii="宋体" w:hAnsi="宋体" w:eastAsia="宋体" w:cs="Times New Roman"/>
                <w:sz w:val="24"/>
                <w:szCs w:val="24"/>
              </w:rPr>
            </w:pPr>
            <w:r>
              <w:rPr>
                <w:rFonts w:hint="eastAsia" w:ascii="宋体" w:hAnsi="宋体" w:eastAsia="宋体" w:cs="Times New Roman"/>
                <w:sz w:val="24"/>
                <w:szCs w:val="24"/>
              </w:rPr>
              <w:t>湖南省中药材产业协会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vAlign w:val="center"/>
          </w:tcPr>
          <w:p>
            <w:pPr>
              <w:jc w:val="center"/>
              <w:rPr>
                <w:rFonts w:ascii="宋体" w:hAnsi="宋体" w:eastAsia="宋体" w:cs="Times New Roman"/>
                <w:sz w:val="24"/>
                <w:szCs w:val="24"/>
              </w:rPr>
            </w:pPr>
            <w:r>
              <w:rPr>
                <w:rFonts w:ascii="宋体" w:hAnsi="宋体" w:eastAsia="宋体" w:cs="Times New Roman"/>
                <w:sz w:val="24"/>
                <w:szCs w:val="24"/>
              </w:rPr>
              <w:t>刘舒</w:t>
            </w:r>
          </w:p>
        </w:tc>
        <w:tc>
          <w:tcPr>
            <w:tcW w:w="709" w:type="dxa"/>
            <w:vAlign w:val="center"/>
          </w:tcPr>
          <w:p>
            <w:pPr>
              <w:jc w:val="center"/>
              <w:rPr>
                <w:rFonts w:ascii="宋体" w:hAnsi="宋体" w:eastAsia="宋体" w:cs="Times New Roman"/>
                <w:sz w:val="24"/>
                <w:szCs w:val="24"/>
              </w:rPr>
            </w:pPr>
            <w:r>
              <w:rPr>
                <w:rFonts w:ascii="宋体" w:hAnsi="宋体" w:eastAsia="宋体" w:cs="Times New Roman"/>
                <w:sz w:val="24"/>
                <w:szCs w:val="24"/>
              </w:rPr>
              <w:t>女</w:t>
            </w:r>
          </w:p>
        </w:tc>
        <w:tc>
          <w:tcPr>
            <w:tcW w:w="1389" w:type="dxa"/>
            <w:vAlign w:val="center"/>
          </w:tcPr>
          <w:p>
            <w:pPr>
              <w:jc w:val="center"/>
              <w:rPr>
                <w:rFonts w:ascii="宋体" w:hAnsi="宋体" w:eastAsia="宋体" w:cs="Times New Roman"/>
                <w:sz w:val="24"/>
                <w:szCs w:val="24"/>
              </w:rPr>
            </w:pPr>
            <w:r>
              <w:rPr>
                <w:rFonts w:ascii="宋体" w:hAnsi="宋体" w:eastAsia="宋体" w:cs="Times New Roman"/>
                <w:sz w:val="24"/>
                <w:szCs w:val="24"/>
              </w:rPr>
              <w:t>部长</w:t>
            </w:r>
          </w:p>
        </w:tc>
        <w:tc>
          <w:tcPr>
            <w:tcW w:w="2580" w:type="dxa"/>
            <w:vAlign w:val="center"/>
          </w:tcPr>
          <w:p>
            <w:pPr>
              <w:jc w:val="center"/>
              <w:rPr>
                <w:rFonts w:ascii="宋体" w:hAnsi="宋体" w:eastAsia="宋体" w:cs="Times New Roman"/>
                <w:sz w:val="24"/>
                <w:szCs w:val="24"/>
              </w:rPr>
            </w:pPr>
            <w:r>
              <w:rPr>
                <w:rFonts w:hint="eastAsia" w:ascii="宋体" w:hAnsi="宋体" w:eastAsia="宋体" w:cs="Times New Roman"/>
                <w:sz w:val="24"/>
                <w:szCs w:val="24"/>
              </w:rPr>
              <w:t>调查分析</w:t>
            </w:r>
          </w:p>
        </w:tc>
        <w:tc>
          <w:tcPr>
            <w:tcW w:w="2948" w:type="dxa"/>
            <w:vAlign w:val="center"/>
          </w:tcPr>
          <w:p>
            <w:pPr>
              <w:jc w:val="center"/>
              <w:rPr>
                <w:rFonts w:ascii="宋体" w:hAnsi="宋体" w:eastAsia="宋体" w:cs="Times New Roman"/>
                <w:sz w:val="24"/>
                <w:szCs w:val="24"/>
              </w:rPr>
            </w:pPr>
            <w:r>
              <w:rPr>
                <w:rFonts w:hint="eastAsia" w:ascii="宋体" w:hAnsi="宋体" w:eastAsia="宋体" w:cs="Times New Roman"/>
                <w:sz w:val="24"/>
                <w:szCs w:val="24"/>
              </w:rPr>
              <w:t>湖南省中药材产业协会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vAlign w:val="center"/>
          </w:tcPr>
          <w:p>
            <w:pPr>
              <w:jc w:val="center"/>
              <w:rPr>
                <w:rFonts w:ascii="宋体" w:hAnsi="宋体" w:eastAsia="宋体" w:cs="Times New Roman"/>
                <w:sz w:val="24"/>
                <w:szCs w:val="24"/>
              </w:rPr>
            </w:pPr>
            <w:r>
              <w:rPr>
                <w:rFonts w:ascii="宋体" w:hAnsi="宋体" w:eastAsia="宋体" w:cs="Times New Roman"/>
                <w:sz w:val="24"/>
                <w:szCs w:val="24"/>
              </w:rPr>
              <w:t>杨益黎</w:t>
            </w:r>
          </w:p>
        </w:tc>
        <w:tc>
          <w:tcPr>
            <w:tcW w:w="709" w:type="dxa"/>
            <w:vAlign w:val="center"/>
          </w:tcPr>
          <w:p>
            <w:pPr>
              <w:jc w:val="center"/>
              <w:rPr>
                <w:rFonts w:ascii="宋体" w:hAnsi="宋体" w:eastAsia="宋体" w:cs="Times New Roman"/>
                <w:sz w:val="24"/>
                <w:szCs w:val="24"/>
              </w:rPr>
            </w:pPr>
            <w:r>
              <w:rPr>
                <w:rFonts w:ascii="宋体" w:hAnsi="宋体" w:eastAsia="宋体" w:cs="Times New Roman"/>
                <w:sz w:val="24"/>
                <w:szCs w:val="24"/>
              </w:rPr>
              <w:t>男</w:t>
            </w:r>
          </w:p>
        </w:tc>
        <w:tc>
          <w:tcPr>
            <w:tcW w:w="1389" w:type="dxa"/>
            <w:vAlign w:val="center"/>
          </w:tcPr>
          <w:p>
            <w:pPr>
              <w:jc w:val="center"/>
              <w:rPr>
                <w:rFonts w:ascii="宋体" w:hAnsi="宋体" w:eastAsia="宋体" w:cs="Times New Roman"/>
                <w:sz w:val="24"/>
                <w:szCs w:val="24"/>
              </w:rPr>
            </w:pPr>
            <w:r>
              <w:rPr>
                <w:rFonts w:ascii="宋体" w:hAnsi="宋体" w:eastAsia="宋体" w:cs="Times New Roman"/>
                <w:sz w:val="24"/>
                <w:szCs w:val="24"/>
              </w:rPr>
              <w:t>部长</w:t>
            </w:r>
          </w:p>
        </w:tc>
        <w:tc>
          <w:tcPr>
            <w:tcW w:w="2580" w:type="dxa"/>
            <w:vAlign w:val="center"/>
          </w:tcPr>
          <w:p>
            <w:pPr>
              <w:jc w:val="center"/>
              <w:rPr>
                <w:rFonts w:ascii="宋体" w:hAnsi="宋体" w:eastAsia="宋体" w:cs="Times New Roman"/>
                <w:sz w:val="24"/>
                <w:szCs w:val="24"/>
              </w:rPr>
            </w:pPr>
            <w:r>
              <w:rPr>
                <w:rFonts w:hint="eastAsia" w:ascii="宋体" w:hAnsi="宋体" w:eastAsia="宋体" w:cs="Times New Roman"/>
                <w:sz w:val="24"/>
                <w:szCs w:val="24"/>
              </w:rPr>
              <w:t>工艺调研</w:t>
            </w:r>
          </w:p>
        </w:tc>
        <w:tc>
          <w:tcPr>
            <w:tcW w:w="2948" w:type="dxa"/>
            <w:vAlign w:val="center"/>
          </w:tcPr>
          <w:p>
            <w:pPr>
              <w:jc w:val="center"/>
              <w:rPr>
                <w:rFonts w:ascii="宋体" w:hAnsi="宋体" w:eastAsia="宋体" w:cs="Times New Roman"/>
                <w:sz w:val="24"/>
                <w:szCs w:val="24"/>
              </w:rPr>
            </w:pPr>
            <w:r>
              <w:rPr>
                <w:rFonts w:hint="eastAsia" w:ascii="宋体" w:hAnsi="宋体" w:eastAsia="宋体" w:cs="Times New Roman"/>
                <w:sz w:val="24"/>
                <w:szCs w:val="24"/>
              </w:rPr>
              <w:t>湖南省中药材产业协会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vAlign w:val="center"/>
          </w:tcPr>
          <w:p>
            <w:pPr>
              <w:jc w:val="center"/>
              <w:rPr>
                <w:rFonts w:ascii="宋体" w:hAnsi="宋体" w:eastAsia="宋体" w:cs="Times New Roman"/>
                <w:sz w:val="24"/>
                <w:szCs w:val="24"/>
              </w:rPr>
            </w:pPr>
            <w:r>
              <w:rPr>
                <w:rFonts w:ascii="宋体" w:hAnsi="宋体" w:eastAsia="宋体" w:cs="Times New Roman"/>
                <w:sz w:val="24"/>
                <w:szCs w:val="24"/>
              </w:rPr>
              <w:t>朱校奇</w:t>
            </w:r>
          </w:p>
        </w:tc>
        <w:tc>
          <w:tcPr>
            <w:tcW w:w="709" w:type="dxa"/>
            <w:vAlign w:val="center"/>
          </w:tcPr>
          <w:p>
            <w:pPr>
              <w:jc w:val="center"/>
              <w:rPr>
                <w:rFonts w:ascii="宋体" w:hAnsi="宋体" w:eastAsia="宋体" w:cs="Times New Roman"/>
                <w:sz w:val="24"/>
                <w:szCs w:val="24"/>
              </w:rPr>
            </w:pPr>
            <w:r>
              <w:rPr>
                <w:rFonts w:ascii="宋体" w:hAnsi="宋体" w:eastAsia="宋体" w:cs="Times New Roman"/>
                <w:sz w:val="24"/>
                <w:szCs w:val="24"/>
              </w:rPr>
              <w:t>男</w:t>
            </w:r>
          </w:p>
        </w:tc>
        <w:tc>
          <w:tcPr>
            <w:tcW w:w="1389" w:type="dxa"/>
            <w:vAlign w:val="center"/>
          </w:tcPr>
          <w:p>
            <w:pPr>
              <w:jc w:val="center"/>
              <w:rPr>
                <w:rFonts w:ascii="宋体" w:hAnsi="宋体" w:eastAsia="宋体" w:cs="Times New Roman"/>
                <w:sz w:val="24"/>
                <w:szCs w:val="24"/>
              </w:rPr>
            </w:pPr>
            <w:r>
              <w:rPr>
                <w:rFonts w:ascii="宋体" w:hAnsi="宋体" w:eastAsia="宋体" w:cs="Times New Roman"/>
                <w:sz w:val="24"/>
                <w:szCs w:val="24"/>
              </w:rPr>
              <w:t>研究员</w:t>
            </w:r>
          </w:p>
        </w:tc>
        <w:tc>
          <w:tcPr>
            <w:tcW w:w="2580" w:type="dxa"/>
            <w:vAlign w:val="center"/>
          </w:tcPr>
          <w:p>
            <w:pPr>
              <w:jc w:val="center"/>
              <w:rPr>
                <w:rFonts w:ascii="宋体" w:hAnsi="宋体" w:eastAsia="宋体" w:cs="Times New Roman"/>
                <w:sz w:val="24"/>
                <w:szCs w:val="24"/>
              </w:rPr>
            </w:pPr>
            <w:r>
              <w:rPr>
                <w:rFonts w:hint="eastAsia" w:ascii="宋体" w:hAnsi="宋体" w:eastAsia="宋体" w:cs="Times New Roman"/>
                <w:sz w:val="24"/>
                <w:szCs w:val="24"/>
              </w:rPr>
              <w:t>技术规程编制</w:t>
            </w:r>
          </w:p>
        </w:tc>
        <w:tc>
          <w:tcPr>
            <w:tcW w:w="2948" w:type="dxa"/>
            <w:vAlign w:val="center"/>
          </w:tcPr>
          <w:p>
            <w:pPr>
              <w:jc w:val="center"/>
              <w:rPr>
                <w:rFonts w:ascii="宋体" w:hAnsi="宋体" w:eastAsia="宋体" w:cs="Times New Roman"/>
                <w:sz w:val="24"/>
                <w:szCs w:val="24"/>
              </w:rPr>
            </w:pPr>
            <w:r>
              <w:rPr>
                <w:rFonts w:ascii="宋体" w:hAnsi="宋体" w:eastAsia="宋体" w:cs="Times New Roman"/>
                <w:sz w:val="24"/>
                <w:szCs w:val="24"/>
              </w:rPr>
              <w:t>湖南省农业科学院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vAlign w:val="center"/>
          </w:tcPr>
          <w:p>
            <w:pPr>
              <w:jc w:val="center"/>
              <w:rPr>
                <w:rFonts w:ascii="宋体" w:hAnsi="宋体" w:eastAsia="宋体" w:cs="Times New Roman"/>
                <w:color w:val="333333"/>
                <w:sz w:val="24"/>
                <w:szCs w:val="24"/>
                <w:shd w:val="clear" w:color="auto" w:fill="FFFFFF"/>
              </w:rPr>
            </w:pPr>
            <w:r>
              <w:rPr>
                <w:rFonts w:ascii="宋体" w:hAnsi="宋体" w:eastAsia="宋体" w:cs="Times New Roman"/>
                <w:color w:val="333333"/>
                <w:sz w:val="24"/>
                <w:szCs w:val="24"/>
                <w:shd w:val="clear" w:color="auto" w:fill="FFFFFF"/>
              </w:rPr>
              <w:t>宋荣</w:t>
            </w:r>
          </w:p>
        </w:tc>
        <w:tc>
          <w:tcPr>
            <w:tcW w:w="709" w:type="dxa"/>
            <w:vAlign w:val="center"/>
          </w:tcPr>
          <w:p>
            <w:pPr>
              <w:jc w:val="center"/>
              <w:rPr>
                <w:rFonts w:ascii="宋体" w:hAnsi="宋体" w:eastAsia="宋体" w:cs="Times New Roman"/>
                <w:sz w:val="24"/>
                <w:szCs w:val="24"/>
              </w:rPr>
            </w:pPr>
            <w:r>
              <w:rPr>
                <w:rFonts w:ascii="宋体" w:hAnsi="宋体" w:eastAsia="宋体" w:cs="Times New Roman"/>
                <w:sz w:val="24"/>
                <w:szCs w:val="24"/>
              </w:rPr>
              <w:t>男</w:t>
            </w:r>
          </w:p>
        </w:tc>
        <w:tc>
          <w:tcPr>
            <w:tcW w:w="1389" w:type="dxa"/>
            <w:vAlign w:val="center"/>
          </w:tcPr>
          <w:p>
            <w:pPr>
              <w:jc w:val="center"/>
              <w:rPr>
                <w:rFonts w:ascii="宋体" w:hAnsi="宋体" w:eastAsia="宋体" w:cs="Times New Roman"/>
                <w:sz w:val="24"/>
                <w:szCs w:val="24"/>
              </w:rPr>
            </w:pPr>
            <w:r>
              <w:rPr>
                <w:rFonts w:ascii="宋体" w:hAnsi="宋体" w:eastAsia="宋体" w:cs="Times New Roman"/>
                <w:sz w:val="24"/>
                <w:szCs w:val="24"/>
              </w:rPr>
              <w:t>副研究员</w:t>
            </w:r>
          </w:p>
        </w:tc>
        <w:tc>
          <w:tcPr>
            <w:tcW w:w="2580" w:type="dxa"/>
            <w:vAlign w:val="center"/>
          </w:tcPr>
          <w:p>
            <w:pPr>
              <w:jc w:val="center"/>
              <w:rPr>
                <w:rFonts w:ascii="宋体" w:hAnsi="宋体" w:eastAsia="宋体" w:cs="Times New Roman"/>
                <w:sz w:val="24"/>
                <w:szCs w:val="24"/>
              </w:rPr>
            </w:pPr>
            <w:r>
              <w:rPr>
                <w:rFonts w:hint="eastAsia" w:ascii="宋体" w:hAnsi="宋体" w:eastAsia="宋体" w:cs="Times New Roman"/>
                <w:sz w:val="24"/>
                <w:szCs w:val="24"/>
              </w:rPr>
              <w:t>技术规程编制</w:t>
            </w:r>
          </w:p>
        </w:tc>
        <w:tc>
          <w:tcPr>
            <w:tcW w:w="2948" w:type="dxa"/>
            <w:vAlign w:val="center"/>
          </w:tcPr>
          <w:p>
            <w:pPr>
              <w:jc w:val="center"/>
              <w:rPr>
                <w:rFonts w:ascii="宋体" w:hAnsi="宋体" w:eastAsia="宋体" w:cs="Times New Roman"/>
                <w:sz w:val="24"/>
                <w:szCs w:val="24"/>
              </w:rPr>
            </w:pPr>
            <w:r>
              <w:rPr>
                <w:rFonts w:ascii="宋体" w:hAnsi="宋体" w:eastAsia="宋体" w:cs="Times New Roman"/>
                <w:sz w:val="24"/>
                <w:szCs w:val="24"/>
              </w:rPr>
              <w:t>湖南省农业科学院</w:t>
            </w:r>
          </w:p>
        </w:tc>
      </w:tr>
    </w:tbl>
    <w:p>
      <w:pPr>
        <w:pStyle w:val="11"/>
        <w:spacing w:before="312" w:beforeLines="100" w:line="360" w:lineRule="auto"/>
        <w:ind w:firstLine="602"/>
        <w:rPr>
          <w:b/>
          <w:sz w:val="30"/>
          <w:szCs w:val="30"/>
        </w:rPr>
      </w:pPr>
      <w:r>
        <w:rPr>
          <w:rFonts w:hint="eastAsia"/>
          <w:b/>
          <w:sz w:val="30"/>
          <w:szCs w:val="30"/>
        </w:rPr>
        <w:t>二、制定</w:t>
      </w:r>
      <w:r>
        <w:rPr>
          <w:b/>
          <w:sz w:val="30"/>
          <w:szCs w:val="30"/>
        </w:rPr>
        <w:t>标准的</w:t>
      </w:r>
      <w:r>
        <w:rPr>
          <w:rFonts w:hint="eastAsia"/>
          <w:b/>
          <w:sz w:val="30"/>
          <w:szCs w:val="30"/>
        </w:rPr>
        <w:t>必要性和意义</w:t>
      </w:r>
    </w:p>
    <w:p>
      <w:pPr>
        <w:widowControl/>
        <w:spacing w:line="360" w:lineRule="auto"/>
        <w:ind w:firstLine="480"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栀子（</w:t>
      </w:r>
      <w:r>
        <w:rPr>
          <w:rFonts w:hint="eastAsia" w:ascii="Times New Roman" w:hAnsi="Times New Roman" w:eastAsia="黑体" w:cs="Times New Roman"/>
          <w:sz w:val="24"/>
          <w:szCs w:val="24"/>
        </w:rPr>
        <w:t>GARDENIAE FRUCTUS</w:t>
      </w:r>
      <w:r>
        <w:rPr>
          <w:rFonts w:ascii="Times New Roman" w:hAnsi="Times New Roman" w:eastAsia="宋体" w:cs="Times New Roman"/>
          <w:kern w:val="0"/>
          <w:sz w:val="24"/>
          <w:szCs w:val="24"/>
        </w:rPr>
        <w:t>）来源于</w:t>
      </w:r>
      <w:r>
        <w:rPr>
          <w:rFonts w:hint="eastAsia" w:ascii="Times New Roman" w:hAnsi="Times New Roman" w:eastAsia="宋体" w:cs="Times New Roman"/>
          <w:kern w:val="0"/>
          <w:sz w:val="24"/>
          <w:szCs w:val="24"/>
        </w:rPr>
        <w:t>茜草</w:t>
      </w:r>
      <w:r>
        <w:rPr>
          <w:rFonts w:ascii="Times New Roman" w:hAnsi="Times New Roman" w:eastAsia="宋体" w:cs="Times New Roman"/>
          <w:kern w:val="0"/>
          <w:sz w:val="24"/>
          <w:szCs w:val="24"/>
        </w:rPr>
        <w:t>科植物</w:t>
      </w:r>
      <w:r>
        <w:rPr>
          <w:rFonts w:hint="eastAsia" w:ascii="Times New Roman" w:hAnsi="Times New Roman" w:eastAsia="宋体" w:cs="Times New Roman"/>
          <w:kern w:val="0"/>
          <w:sz w:val="24"/>
          <w:szCs w:val="24"/>
        </w:rPr>
        <w:t>栀子</w:t>
      </w:r>
      <w:r>
        <w:rPr>
          <w:rFonts w:ascii="Times New Roman" w:hAnsi="Times New Roman" w:eastAsia="黑体" w:cs="Times New Roman"/>
          <w:i/>
          <w:szCs w:val="28"/>
        </w:rPr>
        <w:t>Gardenia jasminoides</w:t>
      </w:r>
      <w:r>
        <w:rPr>
          <w:rFonts w:ascii="Times New Roman" w:hAnsi="Times New Roman" w:eastAsia="黑体" w:cs="Times New Roman"/>
          <w:szCs w:val="28"/>
        </w:rPr>
        <w:t xml:space="preserve"> Ellis</w:t>
      </w:r>
      <w:r>
        <w:rPr>
          <w:rFonts w:ascii="Times New Roman" w:hAnsi="Times New Roman" w:eastAsia="宋体" w:cs="Times New Roman"/>
          <w:kern w:val="0"/>
          <w:sz w:val="24"/>
          <w:szCs w:val="24"/>
        </w:rPr>
        <w:t>的</w:t>
      </w:r>
      <w:r>
        <w:rPr>
          <w:rFonts w:hint="eastAsia" w:ascii="Times New Roman" w:hAnsi="Times New Roman" w:eastAsia="宋体" w:cs="Times New Roman"/>
          <w:kern w:val="0"/>
          <w:sz w:val="24"/>
          <w:szCs w:val="24"/>
        </w:rPr>
        <w:t>干燥成熟果实，其具有</w:t>
      </w:r>
      <w:r>
        <w:rPr>
          <w:rFonts w:ascii="Times New Roman" w:hAnsi="Times New Roman" w:eastAsia="宋体" w:cs="Times New Roman"/>
          <w:kern w:val="0"/>
          <w:sz w:val="24"/>
          <w:szCs w:val="24"/>
        </w:rPr>
        <w:t>泻火除烦，清热利湿，凉血解毒；外用消肿止痛。用于热病心烦，湿热黄疸，淋证涩痛，血热吐</w:t>
      </w:r>
      <w:r>
        <w:rPr>
          <w:rFonts w:hint="eastAsia" w:ascii="Times New Roman" w:hAnsi="Times New Roman" w:eastAsia="宋体" w:cs="Times New Roman"/>
          <w:kern w:val="0"/>
          <w:sz w:val="24"/>
          <w:szCs w:val="24"/>
        </w:rPr>
        <w:t>衄</w:t>
      </w:r>
      <w:r>
        <w:rPr>
          <w:rFonts w:ascii="Times New Roman" w:hAnsi="Times New Roman" w:eastAsia="宋体" w:cs="Times New Roman"/>
          <w:kern w:val="0"/>
          <w:sz w:val="24"/>
          <w:szCs w:val="24"/>
        </w:rPr>
        <w:t>，目</w:t>
      </w:r>
      <w:r>
        <w:rPr>
          <w:rFonts w:hint="eastAsia" w:ascii="Times New Roman" w:hAnsi="Times New Roman" w:eastAsia="宋体" w:cs="Times New Roman"/>
          <w:kern w:val="0"/>
          <w:sz w:val="24"/>
          <w:szCs w:val="24"/>
        </w:rPr>
        <w:t>赤</w:t>
      </w:r>
      <w:r>
        <w:rPr>
          <w:rFonts w:ascii="Times New Roman" w:hAnsi="Times New Roman" w:eastAsia="宋体" w:cs="Times New Roman"/>
          <w:kern w:val="0"/>
          <w:sz w:val="24"/>
          <w:szCs w:val="24"/>
        </w:rPr>
        <w:t>肿痛，火毒疮疡</w:t>
      </w:r>
      <w:r>
        <w:rPr>
          <w:rFonts w:hint="eastAsia" w:ascii="Times New Roman" w:hAnsi="Times New Roman" w:eastAsia="宋体" w:cs="Times New Roman"/>
          <w:kern w:val="0"/>
          <w:sz w:val="24"/>
          <w:szCs w:val="24"/>
        </w:rPr>
        <w:t>；</w:t>
      </w:r>
      <w:r>
        <w:rPr>
          <w:rFonts w:ascii="Times New Roman" w:hAnsi="Times New Roman" w:eastAsia="宋体" w:cs="Times New Roman"/>
          <w:kern w:val="0"/>
          <w:sz w:val="24"/>
          <w:szCs w:val="24"/>
        </w:rPr>
        <w:t>外治扭挫伤痛。是</w:t>
      </w:r>
      <w:r>
        <w:rPr>
          <w:rFonts w:hint="eastAsia" w:ascii="Times New Roman" w:hAnsi="Times New Roman" w:eastAsia="宋体" w:cs="Times New Roman"/>
          <w:kern w:val="0"/>
          <w:sz w:val="24"/>
          <w:szCs w:val="24"/>
        </w:rPr>
        <w:t>一些</w:t>
      </w:r>
      <w:r>
        <w:rPr>
          <w:rFonts w:ascii="Times New Roman" w:hAnsi="Times New Roman" w:eastAsia="宋体" w:cs="Times New Roman"/>
          <w:kern w:val="0"/>
          <w:sz w:val="24"/>
          <w:szCs w:val="24"/>
        </w:rPr>
        <w:t>抗病毒药的主要</w:t>
      </w:r>
      <w:r>
        <w:rPr>
          <w:rFonts w:hint="eastAsia" w:ascii="Times New Roman" w:hAnsi="Times New Roman" w:eastAsia="宋体" w:cs="Times New Roman"/>
          <w:kern w:val="0"/>
          <w:sz w:val="24"/>
          <w:szCs w:val="24"/>
        </w:rPr>
        <w:t>原料。</w:t>
      </w:r>
    </w:p>
    <w:p>
      <w:pPr>
        <w:widowControl/>
        <w:spacing w:line="360" w:lineRule="auto"/>
        <w:ind w:firstLine="480"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目前中国药典关于栀子的初加工方法规定为：9〜11月果实成熟呈红黄色时采收，除去果梗 和杂质，蒸至上气或置沸水中略烫，取出，干燥；栀子</w:t>
      </w:r>
      <w:r>
        <w:rPr>
          <w:rFonts w:ascii="Times New Roman" w:hAnsi="Times New Roman" w:eastAsia="宋体" w:cs="Times New Roman"/>
          <w:kern w:val="0"/>
          <w:sz w:val="24"/>
          <w:szCs w:val="24"/>
        </w:rPr>
        <w:t>饮片加工方法为</w:t>
      </w:r>
      <w:r>
        <w:rPr>
          <w:rFonts w:hint="eastAsia" w:ascii="Times New Roman" w:hAnsi="Times New Roman" w:eastAsia="宋体" w:cs="Times New Roman"/>
          <w:kern w:val="0"/>
          <w:sz w:val="24"/>
          <w:szCs w:val="24"/>
        </w:rPr>
        <w:t>：除去杂质，碾碎</w:t>
      </w:r>
      <w:r>
        <w:rPr>
          <w:rFonts w:ascii="Times New Roman" w:hAnsi="Times New Roman" w:eastAsia="宋体" w:cs="Times New Roman"/>
          <w:kern w:val="0"/>
          <w:sz w:val="24"/>
          <w:szCs w:val="24"/>
        </w:rPr>
        <w:t>。药典规定</w:t>
      </w:r>
      <w:r>
        <w:rPr>
          <w:rFonts w:hint="eastAsia" w:ascii="Times New Roman" w:hAnsi="Times New Roman" w:eastAsia="宋体" w:cs="Times New Roman"/>
          <w:kern w:val="0"/>
          <w:sz w:val="24"/>
          <w:szCs w:val="24"/>
        </w:rPr>
        <w:t>栀子</w:t>
      </w:r>
      <w:r>
        <w:rPr>
          <w:rFonts w:ascii="Times New Roman" w:hAnsi="Times New Roman" w:eastAsia="宋体" w:cs="Times New Roman"/>
          <w:kern w:val="0"/>
          <w:sz w:val="24"/>
          <w:szCs w:val="24"/>
        </w:rPr>
        <w:t>的产地初加工的干燥方法</w:t>
      </w:r>
      <w:r>
        <w:rPr>
          <w:rFonts w:hint="eastAsia" w:ascii="Times New Roman" w:hAnsi="Times New Roman" w:eastAsia="宋体" w:cs="Times New Roman"/>
          <w:kern w:val="0"/>
          <w:sz w:val="24"/>
          <w:szCs w:val="24"/>
        </w:rPr>
        <w:t>进仅描述为干燥，</w:t>
      </w:r>
      <w:r>
        <w:rPr>
          <w:rFonts w:ascii="Times New Roman" w:hAnsi="Times New Roman" w:eastAsia="宋体" w:cs="Times New Roman"/>
          <w:kern w:val="0"/>
          <w:sz w:val="24"/>
          <w:szCs w:val="24"/>
        </w:rPr>
        <w:t>随着市场对</w:t>
      </w:r>
      <w:r>
        <w:rPr>
          <w:rFonts w:hint="eastAsia" w:ascii="Times New Roman" w:hAnsi="Times New Roman" w:eastAsia="宋体" w:cs="Times New Roman"/>
          <w:kern w:val="0"/>
          <w:sz w:val="24"/>
          <w:szCs w:val="24"/>
        </w:rPr>
        <w:t>栀子</w:t>
      </w:r>
      <w:r>
        <w:rPr>
          <w:rFonts w:ascii="Times New Roman" w:hAnsi="Times New Roman" w:eastAsia="宋体" w:cs="Times New Roman"/>
          <w:kern w:val="0"/>
          <w:sz w:val="24"/>
          <w:szCs w:val="24"/>
        </w:rPr>
        <w:t>药材的市场需求越来越大</w:t>
      </w:r>
      <w:r>
        <w:rPr>
          <w:rFonts w:hint="eastAsia" w:ascii="Times New Roman" w:hAnsi="Times New Roman" w:eastAsia="宋体" w:cs="Times New Roman"/>
          <w:kern w:val="0"/>
          <w:sz w:val="24"/>
          <w:szCs w:val="24"/>
        </w:rPr>
        <w:t>，栀子</w:t>
      </w:r>
      <w:r>
        <w:rPr>
          <w:rFonts w:ascii="Times New Roman" w:hAnsi="Times New Roman" w:eastAsia="宋体" w:cs="Times New Roman"/>
          <w:kern w:val="0"/>
          <w:sz w:val="24"/>
          <w:szCs w:val="24"/>
        </w:rPr>
        <w:t>的生产模式由原来的野生采</w:t>
      </w:r>
      <w:r>
        <w:rPr>
          <w:rFonts w:hint="eastAsia" w:ascii="Times New Roman" w:hAnsi="Times New Roman" w:eastAsia="宋体" w:cs="Times New Roman"/>
          <w:kern w:val="0"/>
          <w:sz w:val="24"/>
          <w:szCs w:val="24"/>
        </w:rPr>
        <w:t>摘</w:t>
      </w:r>
      <w:r>
        <w:rPr>
          <w:rFonts w:ascii="Times New Roman" w:hAnsi="Times New Roman" w:eastAsia="宋体" w:cs="Times New Roman"/>
          <w:kern w:val="0"/>
          <w:sz w:val="24"/>
          <w:szCs w:val="24"/>
        </w:rPr>
        <w:t>逐渐向规模化人工种植转变</w:t>
      </w:r>
      <w:r>
        <w:rPr>
          <w:rFonts w:hint="eastAsia" w:ascii="Times New Roman" w:hAnsi="Times New Roman" w:eastAsia="宋体" w:cs="Times New Roman"/>
          <w:kern w:val="0"/>
          <w:sz w:val="24"/>
          <w:szCs w:val="24"/>
        </w:rPr>
        <w:t>，</w:t>
      </w:r>
      <w:r>
        <w:rPr>
          <w:rFonts w:ascii="Times New Roman" w:hAnsi="Times New Roman" w:eastAsia="宋体" w:cs="Times New Roman"/>
          <w:kern w:val="0"/>
          <w:sz w:val="24"/>
          <w:szCs w:val="24"/>
        </w:rPr>
        <w:t>湖南</w:t>
      </w:r>
      <w:r>
        <w:rPr>
          <w:rFonts w:hint="eastAsia" w:ascii="Times New Roman" w:hAnsi="Times New Roman" w:eastAsia="宋体" w:cs="Times New Roman"/>
          <w:kern w:val="0"/>
          <w:sz w:val="24"/>
          <w:szCs w:val="24"/>
        </w:rPr>
        <w:t>宁乡市、岳阳屈原管理区、娄邵地区</w:t>
      </w:r>
      <w:r>
        <w:rPr>
          <w:rFonts w:ascii="Times New Roman" w:hAnsi="Times New Roman" w:eastAsia="宋体" w:cs="Times New Roman"/>
          <w:kern w:val="0"/>
          <w:sz w:val="24"/>
          <w:szCs w:val="24"/>
        </w:rPr>
        <w:t>及周边开始规模化种植</w:t>
      </w:r>
      <w:r>
        <w:rPr>
          <w:rFonts w:hint="eastAsia" w:ascii="Times New Roman" w:hAnsi="Times New Roman" w:eastAsia="宋体" w:cs="Times New Roman"/>
          <w:kern w:val="0"/>
          <w:sz w:val="24"/>
          <w:szCs w:val="24"/>
        </w:rPr>
        <w:t>栀子，</w:t>
      </w:r>
      <w:r>
        <w:rPr>
          <w:rFonts w:ascii="Times New Roman" w:hAnsi="Times New Roman" w:eastAsia="宋体" w:cs="Times New Roman"/>
          <w:kern w:val="0"/>
          <w:sz w:val="24"/>
          <w:szCs w:val="24"/>
        </w:rPr>
        <w:t>产量越来越大</w:t>
      </w:r>
      <w:r>
        <w:rPr>
          <w:rFonts w:hint="eastAsia" w:ascii="Times New Roman" w:hAnsi="Times New Roman" w:eastAsia="宋体" w:cs="Times New Roman"/>
          <w:kern w:val="0"/>
          <w:sz w:val="24"/>
          <w:szCs w:val="24"/>
        </w:rPr>
        <w:t>，</w:t>
      </w:r>
      <w:r>
        <w:rPr>
          <w:rFonts w:ascii="Times New Roman" w:hAnsi="Times New Roman" w:eastAsia="宋体" w:cs="Times New Roman"/>
          <w:kern w:val="0"/>
          <w:sz w:val="24"/>
          <w:szCs w:val="24"/>
        </w:rPr>
        <w:t>常规的晒干不能满足生产的需求</w:t>
      </w:r>
      <w:r>
        <w:rPr>
          <w:rFonts w:hint="eastAsia" w:ascii="Times New Roman" w:hAnsi="Times New Roman" w:eastAsia="宋体" w:cs="Times New Roman"/>
          <w:kern w:val="0"/>
          <w:sz w:val="24"/>
          <w:szCs w:val="24"/>
        </w:rPr>
        <w:t>。</w:t>
      </w:r>
      <w:r>
        <w:rPr>
          <w:rFonts w:ascii="Times New Roman" w:hAnsi="Times New Roman" w:eastAsia="宋体" w:cs="Times New Roman"/>
          <w:kern w:val="0"/>
          <w:sz w:val="24"/>
          <w:szCs w:val="24"/>
        </w:rPr>
        <w:t>晒干的方式由于受天气的影响</w:t>
      </w:r>
      <w:r>
        <w:rPr>
          <w:rFonts w:hint="eastAsia" w:ascii="Times New Roman" w:hAnsi="Times New Roman" w:eastAsia="宋体" w:cs="Times New Roman"/>
          <w:kern w:val="0"/>
          <w:sz w:val="24"/>
          <w:szCs w:val="24"/>
        </w:rPr>
        <w:t>，</w:t>
      </w:r>
      <w:r>
        <w:rPr>
          <w:rFonts w:ascii="Times New Roman" w:hAnsi="Times New Roman" w:eastAsia="宋体" w:cs="Times New Roman"/>
          <w:kern w:val="0"/>
          <w:sz w:val="24"/>
          <w:szCs w:val="24"/>
        </w:rPr>
        <w:t>加工得到的</w:t>
      </w:r>
      <w:r>
        <w:rPr>
          <w:rFonts w:hint="eastAsia" w:ascii="Times New Roman" w:hAnsi="Times New Roman" w:eastAsia="宋体" w:cs="Times New Roman"/>
          <w:kern w:val="0"/>
          <w:sz w:val="24"/>
          <w:szCs w:val="24"/>
        </w:rPr>
        <w:t>栀子</w:t>
      </w:r>
      <w:r>
        <w:rPr>
          <w:rFonts w:ascii="Times New Roman" w:hAnsi="Times New Roman" w:eastAsia="宋体" w:cs="Times New Roman"/>
          <w:kern w:val="0"/>
          <w:sz w:val="24"/>
          <w:szCs w:val="24"/>
        </w:rPr>
        <w:t>药材质量往往不稳定</w:t>
      </w:r>
      <w:r>
        <w:rPr>
          <w:rFonts w:hint="eastAsia" w:ascii="Times New Roman" w:hAnsi="Times New Roman" w:eastAsia="宋体" w:cs="Times New Roman"/>
          <w:kern w:val="0"/>
          <w:sz w:val="24"/>
          <w:szCs w:val="24"/>
        </w:rPr>
        <w:t>，</w:t>
      </w:r>
      <w:r>
        <w:rPr>
          <w:rFonts w:ascii="Times New Roman" w:hAnsi="Times New Roman" w:eastAsia="宋体" w:cs="Times New Roman"/>
          <w:kern w:val="0"/>
          <w:sz w:val="24"/>
          <w:szCs w:val="24"/>
        </w:rPr>
        <w:t>为了适应</w:t>
      </w:r>
      <w:r>
        <w:rPr>
          <w:rFonts w:hint="eastAsia" w:ascii="Times New Roman" w:hAnsi="Times New Roman" w:eastAsia="宋体" w:cs="Times New Roman"/>
          <w:kern w:val="0"/>
          <w:sz w:val="24"/>
          <w:szCs w:val="24"/>
        </w:rPr>
        <w:t>栀子</w:t>
      </w:r>
      <w:r>
        <w:rPr>
          <w:rFonts w:ascii="Times New Roman" w:hAnsi="Times New Roman" w:eastAsia="宋体" w:cs="Times New Roman"/>
          <w:kern w:val="0"/>
          <w:sz w:val="24"/>
          <w:szCs w:val="24"/>
        </w:rPr>
        <w:t>产业的新发展</w:t>
      </w:r>
      <w:r>
        <w:rPr>
          <w:rFonts w:hint="eastAsia" w:ascii="Times New Roman" w:hAnsi="Times New Roman" w:eastAsia="宋体" w:cs="Times New Roman"/>
          <w:kern w:val="0"/>
          <w:sz w:val="24"/>
          <w:szCs w:val="24"/>
        </w:rPr>
        <w:t>，开展栀子械化初加工技术研发，制定技术规程，保证栀子药材质量就有重要的应用价值。</w:t>
      </w:r>
    </w:p>
    <w:p>
      <w:pPr>
        <w:widowControl/>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本项目通过对栀子初加工的工艺（杀青、干燥温度、干燥时间）进行考察，以栀子性状及质量为评价指标，综合分析得出栀子初加工的最佳工艺参数，建立栀子初加工技术规范，指导企业中药材生产，对确保栀子质量、提高企业生产效率、降低生产成本具有重要的意义。</w:t>
      </w:r>
    </w:p>
    <w:p>
      <w:pPr>
        <w:widowControl/>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中药材的包装、贮藏和保管也是关乎中药材质量的一个重要环节，但长期以来一直不受人们重视。目前中国药典关于栀子的贮藏也只简略地规定为：置通风干燥处。而湖南的湿热气候对药材的储存有诸多不利的影响严重影响药材的质量，贮藏条件会显著影响药材质量。因此，做好栀子的储藏养护工作，才能确保栀子的质量，保障人民用药安全和有效。本项目通过观察栀子在不同包装储存条件下质量和品质的变化，以期探寻经济实用的栀子优质包装、储藏方法。</w:t>
      </w:r>
    </w:p>
    <w:p>
      <w:pPr>
        <w:spacing w:line="360" w:lineRule="auto"/>
        <w:ind w:firstLine="540" w:firstLineChars="225"/>
        <w:rPr>
          <w:rFonts w:ascii="Times New Roman" w:hAnsi="Times New Roman" w:eastAsia="宋体" w:cs="Times New Roman"/>
          <w:sz w:val="24"/>
          <w:szCs w:val="24"/>
        </w:rPr>
      </w:pPr>
      <w:r>
        <w:rPr>
          <w:rFonts w:ascii="Times New Roman" w:hAnsi="Times New Roman" w:eastAsia="宋体" w:cs="Times New Roman"/>
          <w:sz w:val="24"/>
          <w:szCs w:val="24"/>
        </w:rPr>
        <w:t>湖南省作为</w:t>
      </w:r>
      <w:r>
        <w:rPr>
          <w:rFonts w:hint="eastAsia" w:ascii="Times New Roman" w:hAnsi="Times New Roman" w:eastAsia="宋体" w:cs="Times New Roman"/>
          <w:sz w:val="24"/>
          <w:szCs w:val="24"/>
        </w:rPr>
        <w:t>栀子的出产大省</w:t>
      </w:r>
      <w:r>
        <w:rPr>
          <w:rFonts w:ascii="Times New Roman" w:hAnsi="Times New Roman" w:eastAsia="宋体" w:cs="Times New Roman"/>
          <w:sz w:val="24"/>
          <w:szCs w:val="24"/>
        </w:rPr>
        <w:t>，缺乏相应的地方标准对其采收、初加工、贮运进行指导及规范。此外，湖南为大陆性亚热带季风湿润气候，气候具有三个特点：第一、光、热、水资源丰富，三者的高值又基本同步。第二，气候年内变化较大。冬寒冷而夏酷热，春温多变，秋温陡降，春夏多雨，秋冬干旱。气候的年际变化也较大。第三，气候垂直变化最明显的地带为三面环山的山地。所产</w:t>
      </w:r>
      <w:r>
        <w:rPr>
          <w:rFonts w:hint="eastAsia" w:ascii="Times New Roman" w:hAnsi="Times New Roman" w:eastAsia="宋体" w:cs="Times New Roman"/>
          <w:sz w:val="24"/>
          <w:szCs w:val="24"/>
        </w:rPr>
        <w:t>栀子</w:t>
      </w:r>
      <w:r>
        <w:rPr>
          <w:rFonts w:ascii="Times New Roman" w:hAnsi="Times New Roman" w:eastAsia="宋体" w:cs="Times New Roman"/>
          <w:sz w:val="24"/>
          <w:szCs w:val="24"/>
        </w:rPr>
        <w:t>具有浓厚的本土特征，故有必要对湖南种的</w:t>
      </w:r>
      <w:r>
        <w:rPr>
          <w:rFonts w:hint="eastAsia" w:ascii="Times New Roman" w:hAnsi="Times New Roman" w:eastAsia="宋体" w:cs="Times New Roman"/>
          <w:sz w:val="24"/>
          <w:szCs w:val="24"/>
        </w:rPr>
        <w:t>栀子</w:t>
      </w:r>
      <w:r>
        <w:rPr>
          <w:rFonts w:ascii="Times New Roman" w:hAnsi="Times New Roman" w:eastAsia="宋体" w:cs="Times New Roman"/>
          <w:sz w:val="24"/>
          <w:szCs w:val="24"/>
        </w:rPr>
        <w:t>在采收、加工、贮运方面做进一步研究及规范。</w:t>
      </w:r>
    </w:p>
    <w:p>
      <w:pPr>
        <w:pStyle w:val="11"/>
        <w:spacing w:line="360" w:lineRule="auto"/>
        <w:ind w:firstLine="480"/>
        <w:rPr>
          <w:rFonts w:hAnsi="宋体" w:cs="宋体"/>
          <w:kern w:val="0"/>
          <w:szCs w:val="21"/>
        </w:rPr>
      </w:pPr>
      <w:r>
        <w:rPr>
          <w:rFonts w:hint="eastAsia" w:hAnsi="宋体" w:cs="宋体"/>
          <w:kern w:val="0"/>
          <w:sz w:val="24"/>
          <w:szCs w:val="24"/>
        </w:rPr>
        <w:t>目前，我省尚没有制定有关栀子采收、初加工、贮运的地方标准，不利于栀子采收、初加工、贮运的规范化管理。制定栀子采收与产地初加工的地方标准，对规范栀子的采收、初加工、包装、贮运，保障栀子的质量安全等具有重要意义。</w:t>
      </w:r>
    </w:p>
    <w:p>
      <w:pPr>
        <w:spacing w:before="312" w:beforeLines="100" w:line="360" w:lineRule="auto"/>
        <w:ind w:firstLine="602" w:firstLineChars="200"/>
        <w:rPr>
          <w:rFonts w:ascii="Times New Roman" w:hAnsi="Times New Roman" w:eastAsia="宋体" w:cs="Times New Roman"/>
          <w:b/>
          <w:sz w:val="30"/>
          <w:szCs w:val="30"/>
        </w:rPr>
      </w:pPr>
      <w:r>
        <w:rPr>
          <w:rFonts w:ascii="Times New Roman" w:hAnsi="Times New Roman" w:eastAsia="宋体" w:cs="Times New Roman"/>
          <w:b/>
          <w:sz w:val="30"/>
          <w:szCs w:val="30"/>
        </w:rPr>
        <w:t>三、标准起草过程</w:t>
      </w:r>
    </w:p>
    <w:p>
      <w:pPr>
        <w:pStyle w:val="11"/>
        <w:spacing w:line="360" w:lineRule="auto"/>
        <w:ind w:firstLine="418" w:firstLineChars="149"/>
        <w:rPr>
          <w:rFonts w:ascii="Times New Roman" w:hAnsi="Times New Roman" w:cs="Times New Roman"/>
          <w:sz w:val="28"/>
          <w:szCs w:val="28"/>
        </w:rPr>
      </w:pPr>
      <w:r>
        <w:rPr>
          <w:rFonts w:ascii="Times New Roman" w:hAnsi="Times New Roman" w:cs="Times New Roman"/>
          <w:b/>
          <w:sz w:val="28"/>
          <w:szCs w:val="28"/>
        </w:rPr>
        <w:t>1</w:t>
      </w:r>
      <w:r>
        <w:rPr>
          <w:rFonts w:hint="eastAsia" w:ascii="Times New Roman" w:hAnsi="Times New Roman" w:cs="Times New Roman"/>
          <w:b/>
          <w:sz w:val="28"/>
          <w:szCs w:val="28"/>
        </w:rPr>
        <w:t>.</w:t>
      </w:r>
      <w:r>
        <w:rPr>
          <w:rFonts w:ascii="Times New Roman" w:hAnsi="Times New Roman" w:cs="Times New Roman"/>
          <w:b/>
          <w:sz w:val="28"/>
          <w:szCs w:val="28"/>
        </w:rPr>
        <w:t>标准编制原则</w:t>
      </w:r>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本标准编制以国家《中药材生产质量管理规范（试行）》（国家药品监督管理局令第32号）要求为指导，应用项目组有关采收、初加工、储藏等的多项科研技术成果，结合湖南省</w:t>
      </w:r>
      <w:r>
        <w:rPr>
          <w:rFonts w:hint="eastAsia" w:ascii="Times New Roman" w:hAnsi="Times New Roman" w:eastAsia="宋体" w:cs="Times New Roman"/>
          <w:sz w:val="24"/>
          <w:szCs w:val="24"/>
        </w:rPr>
        <w:t>宁乡、岳阳屈原管理区、娄邵地区</w:t>
      </w:r>
      <w:r>
        <w:rPr>
          <w:rFonts w:ascii="Times New Roman" w:hAnsi="Times New Roman" w:eastAsia="宋体" w:cs="Times New Roman"/>
          <w:sz w:val="24"/>
          <w:szCs w:val="24"/>
        </w:rPr>
        <w:t>及其周边地区</w:t>
      </w:r>
      <w:r>
        <w:rPr>
          <w:rFonts w:hint="eastAsia" w:ascii="Times New Roman" w:hAnsi="Times New Roman" w:eastAsia="宋体" w:cs="Times New Roman"/>
          <w:sz w:val="24"/>
          <w:szCs w:val="24"/>
        </w:rPr>
        <w:t>栀子</w:t>
      </w:r>
      <w:r>
        <w:rPr>
          <w:rFonts w:ascii="Times New Roman" w:hAnsi="Times New Roman" w:eastAsia="宋体" w:cs="Times New Roman"/>
          <w:sz w:val="24"/>
          <w:szCs w:val="24"/>
        </w:rPr>
        <w:t>采收、初加工、储藏实践及实际，并充分听取各方的意见，遵循科学性、系统性、可靠性、可操作性、规范性等原则制定本标准。本标准的格式按GB/T 1.1-2020《标准化工作导则 第1部分：标准的结构和编写规则》中的原则要求进行编写。</w:t>
      </w:r>
    </w:p>
    <w:p>
      <w:pPr>
        <w:pStyle w:val="11"/>
        <w:spacing w:line="360" w:lineRule="auto"/>
        <w:ind w:left="420" w:leftChars="200" w:firstLine="0" w:firstLineChars="0"/>
        <w:rPr>
          <w:rFonts w:ascii="Times New Roman" w:hAnsi="Times New Roman" w:cs="Times New Roman"/>
          <w:b/>
          <w:sz w:val="28"/>
          <w:szCs w:val="28"/>
        </w:rPr>
      </w:pPr>
      <w:r>
        <w:rPr>
          <w:rFonts w:ascii="Times New Roman" w:hAnsi="Times New Roman" w:cs="Times New Roman"/>
          <w:b/>
          <w:sz w:val="28"/>
          <w:szCs w:val="28"/>
        </w:rPr>
        <w:t>2</w:t>
      </w:r>
      <w:r>
        <w:rPr>
          <w:rFonts w:hint="eastAsia" w:ascii="Times New Roman" w:hAnsi="Times New Roman" w:cs="Times New Roman"/>
          <w:b/>
          <w:sz w:val="28"/>
          <w:szCs w:val="28"/>
        </w:rPr>
        <w:t>.</w:t>
      </w:r>
      <w:r>
        <w:rPr>
          <w:rFonts w:ascii="Times New Roman" w:hAnsi="Times New Roman" w:cs="Times New Roman"/>
          <w:b/>
          <w:sz w:val="28"/>
          <w:szCs w:val="28"/>
        </w:rPr>
        <w:t>主要工作过程</w:t>
      </w:r>
    </w:p>
    <w:p>
      <w:pPr>
        <w:pStyle w:val="11"/>
        <w:spacing w:line="360" w:lineRule="auto"/>
        <w:ind w:left="420" w:leftChars="200" w:firstLine="0" w:firstLineChars="0"/>
        <w:rPr>
          <w:rFonts w:ascii="Times New Roman" w:hAnsi="Times New Roman" w:cs="Times New Roman"/>
          <w:sz w:val="24"/>
          <w:szCs w:val="24"/>
        </w:rPr>
      </w:pPr>
      <w:r>
        <w:rPr>
          <w:rFonts w:ascii="Times New Roman" w:hAnsi="Times New Roman" w:cs="Times New Roman"/>
          <w:sz w:val="24"/>
          <w:szCs w:val="24"/>
        </w:rPr>
        <w:t>（1）前期准备</w:t>
      </w:r>
    </w:p>
    <w:p>
      <w:pPr>
        <w:pStyle w:val="11"/>
        <w:spacing w:line="360" w:lineRule="auto"/>
        <w:ind w:firstLine="480"/>
        <w:rPr>
          <w:rFonts w:ascii="Times New Roman" w:hAnsi="Times New Roman" w:cs="Times New Roman"/>
          <w:szCs w:val="21"/>
          <w:highlight w:val="yellow"/>
        </w:rPr>
      </w:pPr>
      <w:r>
        <w:rPr>
          <w:rFonts w:hint="eastAsia" w:ascii="Times New Roman" w:hAnsi="Times New Roman" w:cs="Times New Roman"/>
          <w:sz w:val="24"/>
          <w:szCs w:val="24"/>
        </w:rPr>
        <w:t>为做好标准编制工作，湖南农业大学、湖南省中药材产业协会、湖南华夏湘众药业饮片有限公司、</w:t>
      </w:r>
      <w:r>
        <w:rPr>
          <w:rFonts w:ascii="Times New Roman" w:hAnsi="Times New Roman" w:cs="Times New Roman"/>
          <w:sz w:val="24"/>
          <w:szCs w:val="24"/>
        </w:rPr>
        <w:t>湖南省农业科学院</w:t>
      </w:r>
      <w:r>
        <w:rPr>
          <w:rFonts w:hint="eastAsia" w:ascii="Times New Roman" w:hAnsi="Times New Roman" w:cs="Times New Roman"/>
          <w:sz w:val="24"/>
          <w:szCs w:val="24"/>
        </w:rPr>
        <w:t>于</w:t>
      </w:r>
      <w:r>
        <w:rPr>
          <w:rFonts w:ascii="Times New Roman" w:hAnsi="Times New Roman" w:cs="Times New Roman"/>
          <w:sz w:val="24"/>
          <w:szCs w:val="24"/>
        </w:rPr>
        <w:t>20</w:t>
      </w:r>
      <w:r>
        <w:rPr>
          <w:rFonts w:hint="eastAsia" w:ascii="Times New Roman" w:hAnsi="Times New Roman" w:cs="Times New Roman"/>
          <w:sz w:val="24"/>
          <w:szCs w:val="24"/>
        </w:rPr>
        <w:t>21年12月成立了标准编制工作小组，初步拟定了标准工作方案和工作计划。工作组收集了湖南、河南、重庆、湖北、四川、浙江等地有关栀子采收、初加工、储藏的技术。</w:t>
      </w:r>
    </w:p>
    <w:p>
      <w:pPr>
        <w:pStyle w:val="11"/>
        <w:spacing w:line="360" w:lineRule="auto"/>
        <w:ind w:left="420" w:leftChars="200" w:firstLine="0" w:firstLineChars="0"/>
        <w:rPr>
          <w:rFonts w:ascii="Times New Roman" w:hAnsi="Times New Roman" w:cs="Times New Roman"/>
          <w:sz w:val="24"/>
          <w:szCs w:val="24"/>
        </w:rPr>
      </w:pPr>
      <w:r>
        <w:rPr>
          <w:rFonts w:hint="eastAsia" w:ascii="Times New Roman" w:hAnsi="Times New Roman" w:cs="Times New Roman"/>
          <w:sz w:val="24"/>
          <w:szCs w:val="24"/>
        </w:rPr>
        <w:t>（2）起草过程</w:t>
      </w:r>
    </w:p>
    <w:p>
      <w:pPr>
        <w:pStyle w:val="11"/>
        <w:spacing w:line="360" w:lineRule="auto"/>
        <w:ind w:firstLine="480"/>
        <w:rPr>
          <w:rFonts w:ascii="Times New Roman"/>
          <w:sz w:val="24"/>
          <w:szCs w:val="24"/>
        </w:rPr>
      </w:pPr>
      <w:r>
        <w:rPr>
          <w:rFonts w:ascii="Times New Roman"/>
          <w:sz w:val="24"/>
          <w:szCs w:val="24"/>
        </w:rPr>
        <w:t>202</w:t>
      </w:r>
      <w:r>
        <w:rPr>
          <w:rFonts w:hint="eastAsia" w:ascii="Times New Roman"/>
          <w:sz w:val="24"/>
          <w:szCs w:val="24"/>
        </w:rPr>
        <w:t>2年1月，经湖南省市场监督局批准立项后，成立标准编制项目组并编制实施方案。</w:t>
      </w:r>
      <w:r>
        <w:rPr>
          <w:rFonts w:ascii="Times New Roman"/>
          <w:sz w:val="24"/>
          <w:szCs w:val="24"/>
        </w:rPr>
        <w:t>202</w:t>
      </w:r>
      <w:r>
        <w:rPr>
          <w:rFonts w:hint="eastAsia" w:ascii="Times New Roman"/>
          <w:sz w:val="24"/>
          <w:szCs w:val="24"/>
        </w:rPr>
        <w:t>2年1月至</w:t>
      </w:r>
      <w:r>
        <w:rPr>
          <w:rFonts w:ascii="Times New Roman"/>
          <w:sz w:val="24"/>
          <w:szCs w:val="24"/>
        </w:rPr>
        <w:t>202</w:t>
      </w:r>
      <w:r>
        <w:rPr>
          <w:rFonts w:hint="eastAsia" w:ascii="Times New Roman"/>
          <w:sz w:val="24"/>
          <w:szCs w:val="24"/>
        </w:rPr>
        <w:t>2年6月，进行资料收集和整理，总结多年的采收与初加工研究与实践，根据多年的试验数据和推广示范结果，参考相关文献资料，遵循国家标准</w:t>
      </w:r>
      <w:r>
        <w:rPr>
          <w:rFonts w:ascii="Times New Roman"/>
          <w:sz w:val="24"/>
          <w:szCs w:val="24"/>
        </w:rPr>
        <w:t>GB/T1.1-20</w:t>
      </w:r>
      <w:r>
        <w:rPr>
          <w:rFonts w:hint="eastAsia" w:ascii="Times New Roman"/>
          <w:sz w:val="24"/>
          <w:szCs w:val="24"/>
        </w:rPr>
        <w:t>20标准化工作导则第</w:t>
      </w:r>
      <w:r>
        <w:rPr>
          <w:rFonts w:ascii="Times New Roman"/>
          <w:sz w:val="24"/>
          <w:szCs w:val="24"/>
        </w:rPr>
        <w:t>1</w:t>
      </w:r>
      <w:r>
        <w:rPr>
          <w:rFonts w:hint="eastAsia" w:ascii="Times New Roman"/>
          <w:sz w:val="24"/>
          <w:szCs w:val="24"/>
        </w:rPr>
        <w:t>部分：标准的结构和编写规则，经项目组讨论修改，于</w:t>
      </w:r>
      <w:r>
        <w:rPr>
          <w:rFonts w:ascii="Times New Roman"/>
          <w:sz w:val="24"/>
          <w:szCs w:val="24"/>
        </w:rPr>
        <w:t>202</w:t>
      </w:r>
      <w:r>
        <w:rPr>
          <w:rFonts w:hint="eastAsia" w:ascii="Times New Roman"/>
          <w:sz w:val="24"/>
          <w:szCs w:val="24"/>
        </w:rPr>
        <w:t>2年9月形成标准征求意见稿。</w:t>
      </w:r>
    </w:p>
    <w:p>
      <w:pPr>
        <w:pStyle w:val="11"/>
        <w:spacing w:line="360" w:lineRule="auto"/>
        <w:ind w:firstLineChars="0"/>
        <w:rPr>
          <w:rFonts w:hAnsi="宋体" w:cs="Times New Roman"/>
          <w:sz w:val="24"/>
          <w:szCs w:val="24"/>
        </w:rPr>
      </w:pPr>
      <w:r>
        <w:rPr>
          <w:rFonts w:hint="eastAsia" w:hAnsi="宋体"/>
          <w:sz w:val="24"/>
          <w:szCs w:val="24"/>
        </w:rPr>
        <w:t>标准编制技术路线：前期准备</w:t>
      </w:r>
      <w:r>
        <w:rPr>
          <w:rFonts w:hAnsi="宋体"/>
          <w:sz w:val="24"/>
          <w:szCs w:val="24"/>
        </w:rPr>
        <w:t>—</w:t>
      </w:r>
      <w:r>
        <w:rPr>
          <w:rFonts w:hint="eastAsia" w:hAnsi="宋体"/>
          <w:sz w:val="24"/>
          <w:szCs w:val="24"/>
        </w:rPr>
        <w:t>项目查新</w:t>
      </w:r>
      <w:r>
        <w:rPr>
          <w:rFonts w:hAnsi="宋体"/>
          <w:sz w:val="24"/>
          <w:szCs w:val="24"/>
        </w:rPr>
        <w:t>—</w:t>
      </w:r>
      <w:r>
        <w:rPr>
          <w:rFonts w:hint="eastAsia" w:hAnsi="宋体"/>
          <w:sz w:val="24"/>
          <w:szCs w:val="24"/>
        </w:rPr>
        <w:t>调研项目申报</w:t>
      </w:r>
      <w:r>
        <w:rPr>
          <w:rFonts w:hAnsi="宋体"/>
          <w:sz w:val="24"/>
          <w:szCs w:val="24"/>
        </w:rPr>
        <w:t>—</w:t>
      </w:r>
      <w:r>
        <w:rPr>
          <w:rFonts w:hint="eastAsia" w:hAnsi="宋体"/>
          <w:sz w:val="24"/>
          <w:szCs w:val="24"/>
        </w:rPr>
        <w:t>项目立项</w:t>
      </w:r>
      <w:r>
        <w:rPr>
          <w:rFonts w:hAnsi="宋体"/>
          <w:sz w:val="24"/>
          <w:szCs w:val="24"/>
        </w:rPr>
        <w:t>—</w:t>
      </w:r>
      <w:r>
        <w:rPr>
          <w:rFonts w:hint="eastAsia" w:hAnsi="宋体"/>
          <w:sz w:val="24"/>
          <w:szCs w:val="24"/>
        </w:rPr>
        <w:t>资料采集</w:t>
      </w:r>
      <w:r>
        <w:rPr>
          <w:rFonts w:hAnsi="宋体"/>
          <w:sz w:val="24"/>
          <w:szCs w:val="24"/>
        </w:rPr>
        <w:t>—</w:t>
      </w:r>
      <w:r>
        <w:rPr>
          <w:rFonts w:hint="eastAsia" w:hAnsi="宋体"/>
          <w:sz w:val="24"/>
          <w:szCs w:val="24"/>
        </w:rPr>
        <w:t>数据统计</w:t>
      </w:r>
      <w:r>
        <w:rPr>
          <w:rFonts w:hAnsi="宋体"/>
          <w:sz w:val="24"/>
          <w:szCs w:val="24"/>
        </w:rPr>
        <w:t>—</w:t>
      </w:r>
      <w:r>
        <w:rPr>
          <w:rFonts w:hint="eastAsia" w:hAnsi="宋体"/>
          <w:sz w:val="24"/>
          <w:szCs w:val="24"/>
        </w:rPr>
        <w:t>标准草稿的编写</w:t>
      </w:r>
      <w:r>
        <w:rPr>
          <w:rFonts w:hAnsi="宋体"/>
          <w:sz w:val="24"/>
          <w:szCs w:val="24"/>
        </w:rPr>
        <w:t>—</w:t>
      </w:r>
      <w:r>
        <w:rPr>
          <w:rFonts w:hint="eastAsia" w:hAnsi="宋体"/>
          <w:sz w:val="24"/>
          <w:szCs w:val="24"/>
        </w:rPr>
        <w:t>编写编制说明</w:t>
      </w:r>
      <w:r>
        <w:rPr>
          <w:rFonts w:hAnsi="宋体"/>
          <w:sz w:val="24"/>
          <w:szCs w:val="24"/>
        </w:rPr>
        <w:t>—</w:t>
      </w:r>
      <w:r>
        <w:rPr>
          <w:rFonts w:hint="eastAsia" w:hAnsi="宋体"/>
          <w:sz w:val="24"/>
          <w:szCs w:val="24"/>
        </w:rPr>
        <w:t>征求专家意见</w:t>
      </w:r>
      <w:r>
        <w:rPr>
          <w:rFonts w:hAnsi="宋体"/>
          <w:sz w:val="24"/>
          <w:szCs w:val="24"/>
        </w:rPr>
        <w:t>—</w:t>
      </w:r>
      <w:r>
        <w:rPr>
          <w:rFonts w:hint="eastAsia" w:hAnsi="宋体"/>
          <w:sz w:val="24"/>
          <w:szCs w:val="24"/>
        </w:rPr>
        <w:t>回收专家意见</w:t>
      </w:r>
      <w:r>
        <w:rPr>
          <w:rFonts w:hAnsi="宋体"/>
          <w:sz w:val="24"/>
          <w:szCs w:val="24"/>
        </w:rPr>
        <w:t>—</w:t>
      </w:r>
      <w:r>
        <w:rPr>
          <w:rFonts w:hint="eastAsia" w:hAnsi="宋体"/>
          <w:sz w:val="24"/>
          <w:szCs w:val="24"/>
        </w:rPr>
        <w:t>根据专家意见进行标准修改</w:t>
      </w:r>
      <w:r>
        <w:rPr>
          <w:rFonts w:hAnsi="宋体"/>
          <w:sz w:val="24"/>
          <w:szCs w:val="24"/>
        </w:rPr>
        <w:t>—</w:t>
      </w:r>
      <w:r>
        <w:rPr>
          <w:rFonts w:hint="eastAsia" w:hAnsi="宋体"/>
          <w:sz w:val="24"/>
          <w:szCs w:val="24"/>
        </w:rPr>
        <w:t>形成标准审查稿</w:t>
      </w:r>
      <w:r>
        <w:rPr>
          <w:rFonts w:hAnsi="宋体"/>
          <w:sz w:val="24"/>
          <w:szCs w:val="24"/>
        </w:rPr>
        <w:t>—</w:t>
      </w:r>
      <w:r>
        <w:rPr>
          <w:rFonts w:hint="eastAsia" w:hAnsi="宋体"/>
          <w:sz w:val="24"/>
          <w:szCs w:val="24"/>
        </w:rPr>
        <w:t>专家会议审查</w:t>
      </w:r>
      <w:r>
        <w:rPr>
          <w:rFonts w:hAnsi="宋体"/>
          <w:sz w:val="24"/>
          <w:szCs w:val="24"/>
        </w:rPr>
        <w:t>—</w:t>
      </w:r>
      <w:r>
        <w:rPr>
          <w:rFonts w:hint="eastAsia" w:hAnsi="宋体"/>
          <w:sz w:val="24"/>
          <w:szCs w:val="24"/>
        </w:rPr>
        <w:t>标准再修改</w:t>
      </w:r>
      <w:r>
        <w:rPr>
          <w:rFonts w:hAnsi="宋体"/>
          <w:sz w:val="24"/>
          <w:szCs w:val="24"/>
        </w:rPr>
        <w:t>—</w:t>
      </w:r>
      <w:r>
        <w:rPr>
          <w:rFonts w:hint="eastAsia" w:hAnsi="宋体"/>
          <w:sz w:val="24"/>
          <w:szCs w:val="24"/>
        </w:rPr>
        <w:t>形成标准审定稿</w:t>
      </w:r>
      <w:r>
        <w:rPr>
          <w:rFonts w:hAnsi="宋体"/>
          <w:sz w:val="24"/>
          <w:szCs w:val="24"/>
        </w:rPr>
        <w:t>—</w:t>
      </w:r>
      <w:r>
        <w:rPr>
          <w:rFonts w:hint="eastAsia" w:hAnsi="宋体"/>
          <w:sz w:val="24"/>
          <w:szCs w:val="24"/>
        </w:rPr>
        <w:t>报湖南省市场监督局审批</w:t>
      </w:r>
      <w:r>
        <w:rPr>
          <w:rFonts w:hAnsi="宋体"/>
          <w:sz w:val="24"/>
          <w:szCs w:val="24"/>
        </w:rPr>
        <w:t>—</w:t>
      </w:r>
      <w:r>
        <w:rPr>
          <w:rFonts w:hint="eastAsia" w:hAnsi="宋体"/>
          <w:sz w:val="24"/>
          <w:szCs w:val="24"/>
        </w:rPr>
        <w:t>发布实施。</w:t>
      </w:r>
    </w:p>
    <w:p>
      <w:pPr>
        <w:spacing w:before="156" w:beforeLines="50" w:after="156" w:afterLines="50" w:line="360" w:lineRule="auto"/>
        <w:ind w:firstLine="602" w:firstLineChars="200"/>
        <w:rPr>
          <w:rFonts w:ascii="Times New Roman" w:hAnsi="Times New Roman" w:eastAsia="宋体" w:cs="Times New Roman"/>
          <w:b/>
          <w:bCs/>
          <w:sz w:val="30"/>
          <w:szCs w:val="30"/>
        </w:rPr>
      </w:pPr>
      <w:bookmarkStart w:id="0" w:name="_Hlk53387491"/>
      <w:r>
        <w:rPr>
          <w:rFonts w:hint="eastAsia" w:ascii="Times New Roman" w:hAnsi="Times New Roman" w:eastAsia="宋体" w:cs="Times New Roman"/>
          <w:b/>
          <w:bCs/>
          <w:sz w:val="30"/>
          <w:szCs w:val="30"/>
        </w:rPr>
        <w:t>四</w:t>
      </w:r>
      <w:r>
        <w:rPr>
          <w:rFonts w:ascii="Times New Roman" w:hAnsi="Times New Roman" w:eastAsia="宋体" w:cs="Times New Roman"/>
          <w:b/>
          <w:bCs/>
          <w:sz w:val="30"/>
          <w:szCs w:val="30"/>
        </w:rPr>
        <w:t>、标准的主要技术内容</w:t>
      </w:r>
    </w:p>
    <w:p>
      <w:pPr>
        <w:pStyle w:val="11"/>
        <w:spacing w:line="360" w:lineRule="auto"/>
        <w:ind w:firstLine="562"/>
        <w:rPr>
          <w:rFonts w:ascii="Times New Roman" w:hAnsi="Times New Roman" w:cs="Times New Roman"/>
          <w:b/>
          <w:bCs/>
          <w:sz w:val="28"/>
          <w:szCs w:val="28"/>
        </w:rPr>
      </w:pPr>
      <w:r>
        <w:rPr>
          <w:rFonts w:hint="eastAsia" w:ascii="Times New Roman" w:hAnsi="Times New Roman" w:cs="Times New Roman"/>
          <w:b/>
          <w:bCs/>
          <w:sz w:val="28"/>
          <w:szCs w:val="28"/>
        </w:rPr>
        <w:t>1.</w:t>
      </w:r>
      <w:r>
        <w:rPr>
          <w:rFonts w:ascii="Times New Roman" w:hAnsi="Times New Roman" w:cs="Times New Roman"/>
          <w:b/>
          <w:bCs/>
          <w:sz w:val="28"/>
          <w:szCs w:val="28"/>
        </w:rPr>
        <w:t>主要条款的说明</w:t>
      </w:r>
    </w:p>
    <w:p>
      <w:pPr>
        <w:pStyle w:val="11"/>
        <w:spacing w:line="360" w:lineRule="auto"/>
        <w:ind w:firstLine="480"/>
        <w:rPr>
          <w:rFonts w:ascii="Times New Roman" w:hAnsi="Times New Roman" w:cs="Times New Roman"/>
          <w:sz w:val="24"/>
          <w:szCs w:val="24"/>
        </w:rPr>
      </w:pPr>
      <w:r>
        <w:rPr>
          <w:rFonts w:ascii="Times New Roman" w:hAnsi="Times New Roman" w:cs="Times New Roman"/>
          <w:sz w:val="24"/>
          <w:szCs w:val="24"/>
        </w:rPr>
        <w:t>本标准规定了</w:t>
      </w:r>
      <w:r>
        <w:rPr>
          <w:rFonts w:hint="eastAsia" w:ascii="Times New Roman" w:hAnsi="Times New Roman" w:cs="Times New Roman"/>
          <w:sz w:val="24"/>
          <w:szCs w:val="24"/>
        </w:rPr>
        <w:t>栀子</w:t>
      </w:r>
      <w:r>
        <w:rPr>
          <w:rFonts w:ascii="Times New Roman" w:hAnsi="Times New Roman" w:cs="Times New Roman"/>
          <w:sz w:val="24"/>
          <w:szCs w:val="24"/>
        </w:rPr>
        <w:t>的采收时间及方法、初加工方法、包装、标识、运输、贮藏、</w:t>
      </w:r>
      <w:r>
        <w:rPr>
          <w:rFonts w:hint="eastAsia" w:ascii="Times New Roman" w:hAnsi="Times New Roman" w:cs="Times New Roman"/>
          <w:sz w:val="24"/>
          <w:szCs w:val="24"/>
        </w:rPr>
        <w:t>生产</w:t>
      </w:r>
      <w:r>
        <w:rPr>
          <w:rFonts w:ascii="Times New Roman" w:hAnsi="Times New Roman" w:cs="Times New Roman"/>
          <w:sz w:val="24"/>
          <w:szCs w:val="24"/>
        </w:rPr>
        <w:t>档案等的技术要求。本标准适用于</w:t>
      </w:r>
      <w:r>
        <w:rPr>
          <w:rFonts w:hint="eastAsia" w:ascii="Times New Roman" w:hAnsi="Times New Roman" w:cs="Times New Roman"/>
          <w:sz w:val="24"/>
          <w:szCs w:val="24"/>
        </w:rPr>
        <w:t>栀子</w:t>
      </w:r>
      <w:r>
        <w:rPr>
          <w:rFonts w:ascii="Times New Roman" w:hAnsi="Times New Roman" w:cs="Times New Roman"/>
          <w:sz w:val="24"/>
          <w:szCs w:val="24"/>
        </w:rPr>
        <w:t>的采收和</w:t>
      </w:r>
      <w:r>
        <w:rPr>
          <w:rFonts w:hint="eastAsia" w:ascii="Times New Roman" w:hAnsi="Times New Roman" w:cs="Times New Roman"/>
          <w:sz w:val="24"/>
          <w:szCs w:val="24"/>
        </w:rPr>
        <w:t>产地</w:t>
      </w:r>
      <w:r>
        <w:rPr>
          <w:rFonts w:ascii="Times New Roman" w:hAnsi="Times New Roman" w:cs="Times New Roman"/>
          <w:sz w:val="24"/>
          <w:szCs w:val="24"/>
        </w:rPr>
        <w:t>初加工生产过程。</w:t>
      </w:r>
    </w:p>
    <w:p>
      <w:pPr>
        <w:pStyle w:val="11"/>
        <w:spacing w:line="360" w:lineRule="auto"/>
        <w:ind w:firstLine="480"/>
        <w:rPr>
          <w:rFonts w:ascii="Times New Roman"/>
          <w:sz w:val="24"/>
          <w:szCs w:val="24"/>
        </w:rPr>
      </w:pPr>
      <w:r>
        <w:rPr>
          <w:rFonts w:ascii="Times New Roman"/>
          <w:sz w:val="24"/>
          <w:szCs w:val="24"/>
        </w:rPr>
        <w:t>本标准共有3个术语和定义：</w:t>
      </w:r>
      <w:r>
        <w:rPr>
          <w:rFonts w:hint="eastAsia" w:ascii="Times New Roman"/>
          <w:sz w:val="24"/>
          <w:szCs w:val="24"/>
        </w:rPr>
        <w:t>栀子、产地初加工、杀青</w:t>
      </w:r>
      <w:r>
        <w:rPr>
          <w:rFonts w:ascii="Times New Roman"/>
          <w:sz w:val="24"/>
          <w:szCs w:val="24"/>
        </w:rPr>
        <w:t>。其中</w:t>
      </w:r>
      <w:r>
        <w:rPr>
          <w:rFonts w:hint="eastAsia" w:ascii="Times New Roman"/>
          <w:sz w:val="24"/>
          <w:szCs w:val="24"/>
        </w:rPr>
        <w:t>栀子</w:t>
      </w:r>
      <w:r>
        <w:rPr>
          <w:rFonts w:ascii="Times New Roman"/>
          <w:sz w:val="24"/>
          <w:szCs w:val="24"/>
        </w:rPr>
        <w:t>是参考</w:t>
      </w:r>
      <w:r>
        <w:rPr>
          <w:rFonts w:hint="eastAsia" w:ascii="Times New Roman"/>
          <w:sz w:val="24"/>
          <w:szCs w:val="24"/>
        </w:rPr>
        <w:t>《中华人民共和国药典》（20</w:t>
      </w:r>
      <w:r>
        <w:rPr>
          <w:rFonts w:ascii="Times New Roman"/>
          <w:sz w:val="24"/>
          <w:szCs w:val="24"/>
        </w:rPr>
        <w:t>20</w:t>
      </w:r>
      <w:r>
        <w:rPr>
          <w:rFonts w:hint="eastAsia" w:ascii="Times New Roman"/>
          <w:sz w:val="24"/>
          <w:szCs w:val="24"/>
        </w:rPr>
        <w:t>版）</w:t>
      </w:r>
      <w:r>
        <w:rPr>
          <w:rFonts w:ascii="Times New Roman"/>
          <w:sz w:val="24"/>
          <w:szCs w:val="24"/>
        </w:rPr>
        <w:t>对</w:t>
      </w:r>
      <w:r>
        <w:rPr>
          <w:rFonts w:hint="eastAsia" w:ascii="Times New Roman"/>
          <w:sz w:val="24"/>
          <w:szCs w:val="24"/>
        </w:rPr>
        <w:t>栀子</w:t>
      </w:r>
      <w:r>
        <w:rPr>
          <w:rFonts w:ascii="Times New Roman"/>
          <w:sz w:val="24"/>
          <w:szCs w:val="24"/>
        </w:rPr>
        <w:t>药材的定义。</w:t>
      </w:r>
      <w:r>
        <w:rPr>
          <w:rFonts w:hint="eastAsia" w:ascii="Times New Roman"/>
          <w:sz w:val="24"/>
          <w:szCs w:val="24"/>
        </w:rPr>
        <w:t>产地初加工</w:t>
      </w:r>
      <w:r>
        <w:rPr>
          <w:rFonts w:ascii="Times New Roman"/>
          <w:sz w:val="24"/>
          <w:szCs w:val="24"/>
        </w:rPr>
        <w:t>是参考</w:t>
      </w:r>
      <w:r>
        <w:rPr>
          <w:rFonts w:hint="eastAsia" w:ascii="Times New Roman"/>
          <w:sz w:val="24"/>
          <w:szCs w:val="24"/>
        </w:rPr>
        <w:t>SB/T 11183 中药材产地加工技术规范中的定义</w:t>
      </w:r>
      <w:r>
        <w:rPr>
          <w:rFonts w:ascii="Times New Roman"/>
          <w:sz w:val="24"/>
          <w:szCs w:val="24"/>
        </w:rPr>
        <w:t>。</w:t>
      </w:r>
    </w:p>
    <w:p>
      <w:pPr>
        <w:pStyle w:val="11"/>
        <w:spacing w:line="360" w:lineRule="auto"/>
        <w:ind w:firstLine="562"/>
        <w:rPr>
          <w:rFonts w:ascii="Times New Roman"/>
          <w:b/>
          <w:bCs/>
          <w:sz w:val="28"/>
          <w:szCs w:val="28"/>
        </w:rPr>
      </w:pPr>
      <w:r>
        <w:rPr>
          <w:rFonts w:hint="eastAsia" w:ascii="Times New Roman"/>
          <w:b/>
          <w:bCs/>
          <w:sz w:val="28"/>
          <w:szCs w:val="28"/>
        </w:rPr>
        <w:t>2.</w:t>
      </w:r>
      <w:r>
        <w:rPr>
          <w:rFonts w:ascii="Times New Roman"/>
          <w:b/>
          <w:bCs/>
          <w:sz w:val="28"/>
          <w:szCs w:val="28"/>
        </w:rPr>
        <w:t>技术要求</w:t>
      </w:r>
    </w:p>
    <w:p>
      <w:pPr>
        <w:pStyle w:val="11"/>
        <w:spacing w:line="360" w:lineRule="auto"/>
        <w:ind w:firstLine="480"/>
        <w:rPr>
          <w:rFonts w:ascii="Times New Roman" w:hAnsi="Times New Roman" w:cs="Times New Roman"/>
          <w:sz w:val="24"/>
          <w:szCs w:val="24"/>
        </w:rPr>
      </w:pPr>
      <w:r>
        <w:rPr>
          <w:rFonts w:ascii="Times New Roman" w:hAnsi="Times New Roman" w:cs="Times New Roman"/>
          <w:sz w:val="24"/>
          <w:szCs w:val="24"/>
        </w:rPr>
        <w:t>（1）采收时间</w:t>
      </w:r>
    </w:p>
    <w:p>
      <w:pPr>
        <w:pStyle w:val="11"/>
        <w:spacing w:line="360" w:lineRule="auto"/>
        <w:ind w:firstLine="480"/>
        <w:rPr>
          <w:rFonts w:ascii="Times New Roman" w:hAnsi="Times New Roman" w:cs="Times New Roman"/>
          <w:sz w:val="24"/>
          <w:szCs w:val="24"/>
        </w:rPr>
      </w:pPr>
      <w:r>
        <w:rPr>
          <w:rFonts w:ascii="Times New Roman" w:hAnsi="Times New Roman" w:cs="Times New Roman"/>
          <w:sz w:val="24"/>
          <w:szCs w:val="24"/>
        </w:rPr>
        <w:t>采收时间的确定是综合基地采收时间、项目组试验结果与实地情况得出的结论。</w:t>
      </w:r>
    </w:p>
    <w:p>
      <w:pPr>
        <w:pStyle w:val="11"/>
        <w:spacing w:line="360" w:lineRule="auto"/>
        <w:ind w:firstLine="480"/>
        <w:rPr>
          <w:rFonts w:ascii="Times New Roman" w:hAnsi="Times New Roman" w:cs="Times New Roman"/>
          <w:sz w:val="24"/>
          <w:szCs w:val="24"/>
        </w:rPr>
      </w:pPr>
      <w:r>
        <w:rPr>
          <w:rFonts w:ascii="Times New Roman" w:hAnsi="Times New Roman" w:cs="Times New Roman"/>
          <w:sz w:val="24"/>
          <w:szCs w:val="24"/>
        </w:rPr>
        <w:t>（2）采收方法</w:t>
      </w:r>
    </w:p>
    <w:p>
      <w:pPr>
        <w:pStyle w:val="11"/>
        <w:spacing w:line="360" w:lineRule="auto"/>
        <w:ind w:firstLine="480"/>
        <w:rPr>
          <w:rFonts w:ascii="Times New Roman" w:hAnsi="Times New Roman" w:cs="Times New Roman"/>
          <w:sz w:val="24"/>
          <w:szCs w:val="24"/>
        </w:rPr>
      </w:pPr>
      <w:r>
        <w:rPr>
          <w:rFonts w:hint="eastAsia" w:ascii="Times New Roman" w:hAnsi="Times New Roman" w:cs="Times New Roman"/>
          <w:sz w:val="24"/>
          <w:szCs w:val="24"/>
        </w:rPr>
        <w:t>栀子</w:t>
      </w:r>
      <w:r>
        <w:rPr>
          <w:rFonts w:ascii="Times New Roman" w:hAnsi="Times New Roman" w:cs="Times New Roman"/>
          <w:sz w:val="24"/>
          <w:szCs w:val="24"/>
        </w:rPr>
        <w:t>的采收方法为：</w:t>
      </w:r>
      <w:r>
        <w:rPr>
          <w:rFonts w:hint="eastAsia" w:ascii="Times New Roman" w:hAnsi="Times New Roman" w:cs="Times New Roman"/>
          <w:sz w:val="24"/>
          <w:szCs w:val="24"/>
        </w:rPr>
        <w:t>采收宜选择晴天或阴天，采摘置干净容器中带回。</w:t>
      </w:r>
      <w:r>
        <w:rPr>
          <w:rFonts w:ascii="Times New Roman" w:hAnsi="Times New Roman" w:cs="Times New Roman"/>
          <w:sz w:val="24"/>
          <w:szCs w:val="24"/>
        </w:rPr>
        <w:t>该方法是参考SB/T 11183 《中药材产地加工技术规范》的采收方法，再结合专家组意见而定。</w:t>
      </w:r>
    </w:p>
    <w:p>
      <w:pPr>
        <w:spacing w:line="360" w:lineRule="auto"/>
        <w:ind w:firstLine="480"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（3）产地初加工</w:t>
      </w:r>
    </w:p>
    <w:p>
      <w:pPr>
        <w:spacing w:line="360" w:lineRule="auto"/>
        <w:ind w:firstLine="480"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w:t>
      </w:r>
      <w:r>
        <w:rPr>
          <w:rFonts w:ascii="Times New Roman" w:hAnsi="Times New Roman" w:eastAsia="宋体" w:cs="Times New Roman"/>
          <w:kern w:val="0"/>
          <w:sz w:val="24"/>
          <w:szCs w:val="24"/>
        </w:rPr>
        <w:t xml:space="preserve">4.3 </w:t>
      </w:r>
      <w:r>
        <w:rPr>
          <w:rFonts w:hint="eastAsia" w:ascii="Times New Roman" w:hAnsi="Times New Roman" w:eastAsia="宋体" w:cs="Times New Roman"/>
          <w:kern w:val="0"/>
          <w:sz w:val="24"/>
          <w:szCs w:val="24"/>
        </w:rPr>
        <w:t>果梗和杂质”、“</w:t>
      </w:r>
      <w:r>
        <w:rPr>
          <w:rFonts w:ascii="Times New Roman" w:hAnsi="Times New Roman" w:eastAsia="宋体" w:cs="Times New Roman"/>
          <w:kern w:val="0"/>
          <w:sz w:val="24"/>
          <w:szCs w:val="24"/>
        </w:rPr>
        <w:t xml:space="preserve">4.4 </w:t>
      </w:r>
      <w:r>
        <w:rPr>
          <w:rFonts w:hint="eastAsia" w:ascii="Times New Roman" w:hAnsi="Times New Roman" w:eastAsia="宋体" w:cs="Times New Roman"/>
          <w:kern w:val="0"/>
          <w:sz w:val="24"/>
          <w:szCs w:val="24"/>
        </w:rPr>
        <w:t>干燥”和“</w:t>
      </w:r>
      <w:r>
        <w:rPr>
          <w:rFonts w:ascii="Times New Roman" w:hAnsi="Times New Roman" w:eastAsia="宋体" w:cs="Times New Roman"/>
          <w:kern w:val="0"/>
          <w:sz w:val="24"/>
          <w:szCs w:val="24"/>
        </w:rPr>
        <w:t>4.5</w:t>
      </w:r>
      <w:r>
        <w:rPr>
          <w:rFonts w:hint="eastAsia" w:ascii="Times New Roman" w:hAnsi="Times New Roman" w:eastAsia="宋体" w:cs="Times New Roman"/>
          <w:kern w:val="0"/>
          <w:sz w:val="24"/>
          <w:szCs w:val="24"/>
        </w:rPr>
        <w:t>捡选、除杂”</w:t>
      </w:r>
      <w:r>
        <w:rPr>
          <w:rFonts w:ascii="Times New Roman" w:hAnsi="Times New Roman" w:eastAsia="宋体" w:cs="Times New Roman"/>
          <w:kern w:val="0"/>
          <w:sz w:val="24"/>
          <w:szCs w:val="24"/>
        </w:rPr>
        <w:t>《中药材生产质量管理规范（试行）》（国家药品监督管理局令第32号）及SB/T 11183 中药材产地加工技术规范的相关规定，再根据湖南省</w:t>
      </w:r>
      <w:r>
        <w:rPr>
          <w:rFonts w:hint="eastAsia" w:ascii="Times New Roman" w:hAnsi="Times New Roman" w:eastAsia="宋体" w:cs="Times New Roman"/>
          <w:sz w:val="24"/>
          <w:szCs w:val="24"/>
        </w:rPr>
        <w:t>宁乡、岳阳屈原管路区</w:t>
      </w:r>
      <w:r>
        <w:rPr>
          <w:rFonts w:ascii="Times New Roman" w:hAnsi="Times New Roman" w:eastAsia="宋体" w:cs="Times New Roman"/>
          <w:sz w:val="24"/>
          <w:szCs w:val="24"/>
        </w:rPr>
        <w:t>及其周边地区</w:t>
      </w:r>
      <w:r>
        <w:rPr>
          <w:rFonts w:ascii="Times New Roman" w:hAnsi="Times New Roman" w:eastAsia="宋体" w:cs="Times New Roman"/>
          <w:kern w:val="0"/>
          <w:sz w:val="24"/>
          <w:szCs w:val="24"/>
        </w:rPr>
        <w:t>大小企业及个人的生产实践，充分听取专家组意见，同时结合本课题组实验研究综合确定。此外，产地初加工中干燥方式、温度与时间的确定，是基于项目组对</w:t>
      </w:r>
      <w:r>
        <w:rPr>
          <w:rFonts w:hint="eastAsia" w:ascii="Times New Roman" w:hAnsi="Times New Roman" w:eastAsia="宋体" w:cs="Times New Roman"/>
          <w:kern w:val="0"/>
          <w:sz w:val="24"/>
          <w:szCs w:val="24"/>
        </w:rPr>
        <w:t>栀子</w:t>
      </w:r>
      <w:r>
        <w:rPr>
          <w:rFonts w:ascii="Times New Roman" w:hAnsi="Times New Roman" w:eastAsia="宋体" w:cs="Times New Roman"/>
          <w:kern w:val="0"/>
          <w:sz w:val="24"/>
          <w:szCs w:val="24"/>
        </w:rPr>
        <w:t>初加工工艺参数的实验考察，并结合基地生产初加工实践而定。</w:t>
      </w:r>
    </w:p>
    <w:p>
      <w:pPr>
        <w:pStyle w:val="11"/>
        <w:spacing w:line="360" w:lineRule="auto"/>
        <w:ind w:firstLine="480"/>
        <w:rPr>
          <w:rFonts w:ascii="Times New Roman" w:hAnsi="Times New Roman" w:cs="Times New Roman"/>
          <w:sz w:val="24"/>
          <w:szCs w:val="24"/>
        </w:rPr>
      </w:pPr>
      <w:r>
        <w:rPr>
          <w:rFonts w:ascii="Times New Roman" w:hAnsi="Times New Roman" w:cs="Times New Roman"/>
          <w:sz w:val="24"/>
          <w:szCs w:val="24"/>
        </w:rPr>
        <w:t>（4）包装、仓储、</w:t>
      </w:r>
      <w:r>
        <w:rPr>
          <w:rFonts w:hint="eastAsia" w:ascii="Times New Roman" w:hAnsi="Times New Roman" w:cs="Times New Roman"/>
          <w:sz w:val="24"/>
          <w:szCs w:val="24"/>
        </w:rPr>
        <w:t>标识</w:t>
      </w:r>
    </w:p>
    <w:p>
      <w:pPr>
        <w:pStyle w:val="11"/>
        <w:spacing w:line="360" w:lineRule="auto"/>
        <w:ind w:firstLine="480"/>
        <w:rPr>
          <w:rFonts w:ascii="Times New Roman" w:hAnsi="Times New Roman" w:cs="Times New Roman"/>
          <w:sz w:val="24"/>
          <w:szCs w:val="24"/>
        </w:rPr>
      </w:pPr>
      <w:r>
        <w:rPr>
          <w:rFonts w:ascii="Times New Roman" w:hAnsi="Times New Roman" w:cs="Times New Roman"/>
          <w:sz w:val="24"/>
          <w:szCs w:val="24"/>
        </w:rPr>
        <w:t>依据《中药材生产质量管理规范（试行）》（国家药品监督管理局令第32号）、GB/T 191《包装储运图示标志》、SB/T 11082《</w:t>
      </w:r>
      <w:bookmarkStart w:id="1" w:name="_Hlk60995549"/>
      <w:r>
        <w:rPr>
          <w:rFonts w:ascii="Times New Roman" w:hAnsi="Times New Roman" w:cs="Times New Roman"/>
          <w:sz w:val="24"/>
          <w:szCs w:val="24"/>
        </w:rPr>
        <w:t>中药材包装技术规范</w:t>
      </w:r>
      <w:bookmarkEnd w:id="1"/>
      <w:r>
        <w:rPr>
          <w:rFonts w:ascii="Times New Roman" w:hAnsi="Times New Roman" w:cs="Times New Roman"/>
          <w:sz w:val="24"/>
          <w:szCs w:val="24"/>
        </w:rPr>
        <w:t>》、SB/T 11094《中药材仓储管理规范》、SB/T 11095《中药材仓库技术规范》、SB/T 11183《中药材产地加工技术规范》的相关规定而定。</w:t>
      </w:r>
    </w:p>
    <w:p>
      <w:pPr>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（5）档案管理</w:t>
      </w:r>
    </w:p>
    <w:p>
      <w:pPr>
        <w:pStyle w:val="11"/>
        <w:spacing w:line="360" w:lineRule="auto"/>
        <w:ind w:firstLine="480"/>
        <w:rPr>
          <w:rFonts w:ascii="Times New Roman" w:hAnsi="Times New Roman" w:cs="Times New Roman"/>
          <w:color w:val="FF0000"/>
          <w:sz w:val="24"/>
          <w:szCs w:val="24"/>
        </w:rPr>
      </w:pPr>
      <w:r>
        <w:rPr>
          <w:rFonts w:ascii="Times New Roman" w:hAnsi="Times New Roman" w:cs="Times New Roman"/>
          <w:sz w:val="24"/>
          <w:szCs w:val="24"/>
        </w:rPr>
        <w:t>“资料记录”与“资料管理”参考</w:t>
      </w:r>
      <w:r>
        <w:rPr>
          <w:rFonts w:hint="eastAsia" w:ascii="Times New Roman" w:hAnsi="Times New Roman" w:cs="Times New Roman"/>
          <w:sz w:val="24"/>
          <w:szCs w:val="24"/>
        </w:rPr>
        <w:t>DB50/T 1226-2022</w:t>
      </w:r>
      <w:r>
        <w:rPr>
          <w:rFonts w:ascii="Times New Roman" w:hAnsi="Times New Roman" w:cs="Times New Roman"/>
          <w:sz w:val="24"/>
          <w:szCs w:val="24"/>
        </w:rPr>
        <w:t>《</w:t>
      </w:r>
      <w:r>
        <w:rPr>
          <w:rFonts w:hint="eastAsia" w:ascii="Times New Roman" w:hAnsi="Times New Roman" w:cs="Times New Roman"/>
          <w:sz w:val="24"/>
          <w:szCs w:val="24"/>
        </w:rPr>
        <w:t>栀子采收与初加工技术规程</w:t>
      </w:r>
      <w:r>
        <w:rPr>
          <w:rFonts w:ascii="Times New Roman" w:hAnsi="Times New Roman" w:cs="Times New Roman"/>
          <w:sz w:val="24"/>
          <w:szCs w:val="24"/>
        </w:rPr>
        <w:t>》、</w:t>
      </w:r>
      <w:r>
        <w:rPr>
          <w:rFonts w:hint="eastAsia" w:ascii="Times New Roman" w:hAnsi="Times New Roman" w:cs="Times New Roman"/>
          <w:sz w:val="24"/>
          <w:szCs w:val="24"/>
        </w:rPr>
        <w:t>DB36/T 1468-2021</w:t>
      </w:r>
      <w:r>
        <w:rPr>
          <w:rFonts w:ascii="Times New Roman" w:hAnsi="Times New Roman" w:cs="Times New Roman"/>
          <w:sz w:val="24"/>
          <w:szCs w:val="24"/>
        </w:rPr>
        <w:t>《</w:t>
      </w:r>
      <w:r>
        <w:rPr>
          <w:rFonts w:hint="eastAsia" w:ascii="Times New Roman" w:hAnsi="Times New Roman" w:cs="Times New Roman"/>
          <w:sz w:val="24"/>
          <w:szCs w:val="24"/>
        </w:rPr>
        <w:t>地理标志产品 樟树黄栀子</w:t>
      </w:r>
      <w:r>
        <w:rPr>
          <w:rFonts w:ascii="Times New Roman" w:hAnsi="Times New Roman" w:cs="Times New Roman"/>
          <w:sz w:val="24"/>
          <w:szCs w:val="24"/>
        </w:rPr>
        <w:t>》、《中药材生产质量管理规范（试行）》（国家药品监督管理局令第32号）中的相关内容，听取专家组意见并充分实地调研而定。</w:t>
      </w:r>
      <w:bookmarkEnd w:id="0"/>
    </w:p>
    <w:p>
      <w:pPr>
        <w:spacing w:before="156" w:beforeLines="50" w:after="156" w:afterLines="50" w:line="360" w:lineRule="auto"/>
        <w:ind w:firstLine="562" w:firstLineChars="200"/>
        <w:rPr>
          <w:rFonts w:ascii="Times New Roman" w:hAnsi="Times New Roman" w:eastAsia="宋体" w:cs="Times New Roman"/>
          <w:b/>
          <w:bCs/>
          <w:sz w:val="28"/>
          <w:szCs w:val="28"/>
        </w:rPr>
      </w:pPr>
      <w:bookmarkStart w:id="2" w:name="_Hlk53387821"/>
      <w:r>
        <w:rPr>
          <w:rFonts w:hint="eastAsia" w:ascii="Times New Roman" w:hAnsi="Times New Roman" w:eastAsia="宋体" w:cs="Times New Roman"/>
          <w:b/>
          <w:bCs/>
          <w:sz w:val="28"/>
          <w:szCs w:val="28"/>
        </w:rPr>
        <w:t>3.主要实验的分析</w:t>
      </w:r>
      <w:bookmarkEnd w:id="2"/>
    </w:p>
    <w:p>
      <w:pPr>
        <w:spacing w:before="156" w:beforeLines="50" w:after="156" w:afterLines="50"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采收时间的确定</w:t>
      </w:r>
    </w:p>
    <w:p>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为制定栀子的适宜采收期，本项目组在宁乡基地选取三个基地（每个基地约</w:t>
      </w:r>
      <w:r>
        <w:rPr>
          <w:rFonts w:ascii="Times New Roman" w:hAnsi="Times New Roman" w:eastAsia="宋体" w:cs="Times New Roman"/>
          <w:sz w:val="24"/>
          <w:szCs w:val="24"/>
        </w:rPr>
        <w:t>1亩），分别于</w:t>
      </w:r>
      <w:r>
        <w:rPr>
          <w:rFonts w:hint="eastAsia" w:ascii="Times New Roman" w:hAnsi="Times New Roman" w:eastAsia="宋体" w:cs="Times New Roman"/>
          <w:sz w:val="24"/>
          <w:szCs w:val="24"/>
        </w:rPr>
        <w:t>每月</w:t>
      </w:r>
      <w:r>
        <w:rPr>
          <w:rFonts w:ascii="Times New Roman" w:hAnsi="Times New Roman" w:eastAsia="宋体" w:cs="Times New Roman"/>
          <w:sz w:val="24"/>
          <w:szCs w:val="24"/>
        </w:rPr>
        <w:t>在此三</w:t>
      </w:r>
      <w:r>
        <w:rPr>
          <w:rFonts w:hint="eastAsia" w:ascii="Times New Roman" w:hAnsi="Times New Roman" w:eastAsia="宋体" w:cs="Times New Roman"/>
          <w:sz w:val="24"/>
          <w:szCs w:val="24"/>
        </w:rPr>
        <w:t>个基地</w:t>
      </w:r>
      <w:r>
        <w:rPr>
          <w:rFonts w:ascii="Times New Roman" w:hAnsi="Times New Roman" w:eastAsia="宋体" w:cs="Times New Roman"/>
          <w:sz w:val="24"/>
          <w:szCs w:val="24"/>
        </w:rPr>
        <w:t>中按照五点采样法（每</w:t>
      </w:r>
      <w:r>
        <w:rPr>
          <w:rFonts w:hint="eastAsia" w:ascii="Times New Roman" w:hAnsi="Times New Roman" w:eastAsia="宋体" w:cs="Times New Roman"/>
          <w:sz w:val="24"/>
          <w:szCs w:val="24"/>
        </w:rPr>
        <w:t>个基地</w:t>
      </w:r>
      <w:r>
        <w:rPr>
          <w:rFonts w:ascii="Times New Roman" w:hAnsi="Times New Roman" w:eastAsia="宋体" w:cs="Times New Roman"/>
          <w:sz w:val="24"/>
          <w:szCs w:val="24"/>
        </w:rPr>
        <w:t>选取5个点，每点采集10</w:t>
      </w:r>
      <w:r>
        <w:rPr>
          <w:rFonts w:hint="eastAsia" w:ascii="Times New Roman" w:hAnsi="Times New Roman" w:eastAsia="宋体" w:cs="Times New Roman"/>
          <w:sz w:val="24"/>
          <w:szCs w:val="24"/>
        </w:rPr>
        <w:t>公斤</w:t>
      </w:r>
      <w:r>
        <w:rPr>
          <w:rFonts w:ascii="Times New Roman" w:hAnsi="Times New Roman" w:eastAsia="宋体" w:cs="Times New Roman"/>
          <w:sz w:val="24"/>
          <w:szCs w:val="24"/>
        </w:rPr>
        <w:t>，即每</w:t>
      </w:r>
      <w:r>
        <w:rPr>
          <w:rFonts w:hint="eastAsia" w:ascii="Times New Roman" w:hAnsi="Times New Roman" w:eastAsia="宋体" w:cs="Times New Roman"/>
          <w:sz w:val="24"/>
          <w:szCs w:val="24"/>
        </w:rPr>
        <w:t>个基地</w:t>
      </w:r>
      <w:r>
        <w:rPr>
          <w:rFonts w:ascii="Times New Roman" w:hAnsi="Times New Roman" w:eastAsia="宋体" w:cs="Times New Roman"/>
          <w:sz w:val="24"/>
          <w:szCs w:val="24"/>
        </w:rPr>
        <w:t>每次取样50</w:t>
      </w:r>
      <w:r>
        <w:rPr>
          <w:rFonts w:hint="eastAsia" w:ascii="Times New Roman" w:hAnsi="Times New Roman" w:eastAsia="宋体" w:cs="Times New Roman"/>
          <w:sz w:val="24"/>
          <w:szCs w:val="24"/>
        </w:rPr>
        <w:t>公斤</w:t>
      </w:r>
      <w:r>
        <w:rPr>
          <w:rFonts w:ascii="Times New Roman" w:hAnsi="Times New Roman" w:eastAsia="宋体" w:cs="Times New Roman"/>
          <w:sz w:val="24"/>
          <w:szCs w:val="24"/>
        </w:rPr>
        <w:t>，三</w:t>
      </w:r>
      <w:r>
        <w:rPr>
          <w:rFonts w:hint="eastAsia" w:ascii="Times New Roman" w:hAnsi="Times New Roman" w:eastAsia="宋体" w:cs="Times New Roman"/>
          <w:sz w:val="24"/>
          <w:szCs w:val="24"/>
        </w:rPr>
        <w:t>个基地</w:t>
      </w:r>
      <w:r>
        <w:rPr>
          <w:rFonts w:ascii="Times New Roman" w:hAnsi="Times New Roman" w:eastAsia="宋体" w:cs="Times New Roman"/>
          <w:sz w:val="24"/>
          <w:szCs w:val="24"/>
        </w:rPr>
        <w:t>共计150</w:t>
      </w:r>
      <w:r>
        <w:rPr>
          <w:rFonts w:hint="eastAsia" w:ascii="Times New Roman" w:hAnsi="Times New Roman" w:eastAsia="宋体" w:cs="Times New Roman"/>
          <w:sz w:val="24"/>
          <w:szCs w:val="24"/>
        </w:rPr>
        <w:t>公斤</w:t>
      </w:r>
      <w:r>
        <w:rPr>
          <w:rFonts w:ascii="Times New Roman" w:hAnsi="Times New Roman" w:eastAsia="宋体" w:cs="Times New Roman"/>
          <w:sz w:val="24"/>
          <w:szCs w:val="24"/>
        </w:rPr>
        <w:t>）进行采样，相关结果记录如下：</w:t>
      </w:r>
    </w:p>
    <w:p>
      <w:pPr>
        <w:spacing w:line="360" w:lineRule="auto"/>
        <w:ind w:firstLine="420" w:firstLineChars="200"/>
        <w:jc w:val="center"/>
        <w:rPr>
          <w:rFonts w:ascii="Times New Roman" w:hAnsi="Times New Roman" w:eastAsia="黑体" w:cs="Times New Roman"/>
        </w:rPr>
      </w:pPr>
      <w:r>
        <w:rPr>
          <w:rFonts w:hint="eastAsia" w:ascii="Times New Roman" w:hAnsi="Times New Roman" w:eastAsia="黑体" w:cs="Times New Roman"/>
        </w:rPr>
        <w:t>表</w:t>
      </w:r>
      <w:r>
        <w:rPr>
          <w:rFonts w:ascii="Times New Roman" w:hAnsi="Times New Roman" w:eastAsia="黑体" w:cs="Times New Roman"/>
        </w:rPr>
        <w:t xml:space="preserve">2 </w:t>
      </w:r>
      <w:r>
        <w:rPr>
          <w:rFonts w:hint="eastAsia" w:ascii="Times New Roman" w:hAnsi="Times New Roman" w:eastAsia="黑体" w:cs="Times New Roman"/>
        </w:rPr>
        <w:t>不同生长期内栀子有效成分含量变化情况</w:t>
      </w:r>
    </w:p>
    <w:tbl>
      <w:tblPr>
        <w:tblStyle w:val="6"/>
        <w:tblW w:w="89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8"/>
        <w:gridCol w:w="1123"/>
        <w:gridCol w:w="1503"/>
        <w:gridCol w:w="1511"/>
        <w:gridCol w:w="1482"/>
        <w:gridCol w:w="1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Borders>
              <w:left w:val="nil"/>
              <w:right w:val="nil"/>
            </w:tcBorders>
            <w:vAlign w:val="center"/>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成熟度</w:t>
            </w:r>
          </w:p>
        </w:tc>
        <w:tc>
          <w:tcPr>
            <w:tcW w:w="1123" w:type="dxa"/>
            <w:tcBorders>
              <w:left w:val="nil"/>
              <w:right w:val="nil"/>
            </w:tcBorders>
            <w:vAlign w:val="center"/>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鲜果颜色</w:t>
            </w:r>
          </w:p>
        </w:tc>
        <w:tc>
          <w:tcPr>
            <w:tcW w:w="1503"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栀子酸含量</w:t>
            </w:r>
          </w:p>
          <w:p>
            <w:pPr>
              <w:autoSpaceDE w:val="0"/>
              <w:autoSpaceDN w:val="0"/>
              <w:spacing w:before="35" w:line="360" w:lineRule="auto"/>
              <w:ind w:left="143" w:right="156"/>
              <w:jc w:val="center"/>
              <w:rPr>
                <w:rFonts w:ascii="Times New Roman" w:hAnsi="Times New Roman" w:eastAsia="宋体" w:cs="Times New Roman"/>
                <w:sz w:val="24"/>
                <w:szCs w:val="24"/>
              </w:rPr>
            </w:pPr>
            <w:r>
              <w:rPr>
                <w:rFonts w:hint="eastAsia" w:ascii="Times New Roman" w:hAnsi="Times New Roman" w:eastAsia="宋体" w:cs="Times New Roman"/>
                <w:kern w:val="0"/>
                <w:sz w:val="18"/>
                <w:szCs w:val="18"/>
              </w:rPr>
              <w:t>（mg/g）</w:t>
            </w:r>
          </w:p>
        </w:tc>
        <w:tc>
          <w:tcPr>
            <w:tcW w:w="151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绿原酸含量</w:t>
            </w:r>
          </w:p>
          <w:p>
            <w:pPr>
              <w:autoSpaceDE w:val="0"/>
              <w:autoSpaceDN w:val="0"/>
              <w:spacing w:before="35" w:line="360" w:lineRule="auto"/>
              <w:ind w:left="143" w:right="156"/>
              <w:jc w:val="center"/>
              <w:rPr>
                <w:rFonts w:ascii="Times New Roman" w:hAnsi="Times New Roman" w:eastAsia="宋体" w:cs="Times New Roman"/>
                <w:sz w:val="18"/>
                <w:szCs w:val="18"/>
              </w:rPr>
            </w:pPr>
            <w:r>
              <w:rPr>
                <w:rFonts w:hint="eastAsia" w:ascii="Times New Roman" w:hAnsi="Times New Roman" w:eastAsia="宋体" w:cs="Times New Roman"/>
                <w:kern w:val="0"/>
                <w:sz w:val="18"/>
                <w:szCs w:val="18"/>
              </w:rPr>
              <w:t>（mg/g）</w:t>
            </w:r>
          </w:p>
        </w:tc>
        <w:tc>
          <w:tcPr>
            <w:tcW w:w="1482"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栀子苷含量</w:t>
            </w:r>
          </w:p>
          <w:p>
            <w:pPr>
              <w:autoSpaceDE w:val="0"/>
              <w:autoSpaceDN w:val="0"/>
              <w:spacing w:before="35" w:line="360" w:lineRule="auto"/>
              <w:ind w:left="143" w:right="156"/>
              <w:jc w:val="center"/>
              <w:rPr>
                <w:rFonts w:ascii="Times New Roman" w:hAnsi="Times New Roman" w:eastAsia="宋体" w:cs="Times New Roman"/>
                <w:sz w:val="24"/>
                <w:szCs w:val="24"/>
              </w:rPr>
            </w:pPr>
            <w:r>
              <w:rPr>
                <w:rFonts w:hint="eastAsia" w:ascii="Times New Roman" w:hAnsi="Times New Roman" w:eastAsia="宋体" w:cs="Times New Roman"/>
                <w:kern w:val="0"/>
                <w:sz w:val="18"/>
                <w:szCs w:val="18"/>
              </w:rPr>
              <w:t>（mg/g）</w:t>
            </w:r>
          </w:p>
        </w:tc>
        <w:tc>
          <w:tcPr>
            <w:tcW w:w="1857"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西红花苷Ⅰ含量</w:t>
            </w:r>
          </w:p>
          <w:p>
            <w:pPr>
              <w:autoSpaceDE w:val="0"/>
              <w:autoSpaceDN w:val="0"/>
              <w:spacing w:before="35" w:line="360" w:lineRule="auto"/>
              <w:ind w:left="143" w:right="156"/>
              <w:jc w:val="center"/>
              <w:rPr>
                <w:rFonts w:ascii="Times New Roman" w:hAnsi="Times New Roman" w:eastAsia="宋体" w:cs="Times New Roman"/>
                <w:sz w:val="24"/>
                <w:szCs w:val="24"/>
              </w:rPr>
            </w:pPr>
            <w:r>
              <w:rPr>
                <w:rFonts w:hint="eastAsia" w:ascii="Times New Roman" w:hAnsi="Times New Roman" w:eastAsia="宋体" w:cs="Times New Roman"/>
                <w:kern w:val="0"/>
                <w:sz w:val="18"/>
                <w:szCs w:val="18"/>
              </w:rPr>
              <w:t>（mg/g）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1488" w:type="dxa"/>
            <w:tcBorders>
              <w:left w:val="nil"/>
              <w:right w:val="nil"/>
            </w:tcBorders>
            <w:vAlign w:val="center"/>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青果</w:t>
            </w:r>
          </w:p>
        </w:tc>
        <w:tc>
          <w:tcPr>
            <w:tcW w:w="1123" w:type="dxa"/>
            <w:tcBorders>
              <w:left w:val="nil"/>
              <w:right w:val="nil"/>
            </w:tcBorders>
            <w:vAlign w:val="center"/>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青果</w:t>
            </w:r>
          </w:p>
        </w:tc>
        <w:tc>
          <w:tcPr>
            <w:tcW w:w="1503"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0.1</w:t>
            </w:r>
            <w:r>
              <w:rPr>
                <w:rFonts w:ascii="Times New Roman" w:hAnsi="Times New Roman" w:eastAsia="宋体" w:cs="Times New Roman"/>
                <w:kern w:val="0"/>
                <w:sz w:val="18"/>
                <w:szCs w:val="18"/>
              </w:rPr>
              <w:t>9±0.0</w:t>
            </w:r>
            <w:r>
              <w:rPr>
                <w:rFonts w:hint="eastAsia" w:ascii="Times New Roman" w:hAnsi="Times New Roman" w:eastAsia="宋体" w:cs="Times New Roman"/>
                <w:kern w:val="0"/>
                <w:sz w:val="18"/>
                <w:szCs w:val="18"/>
              </w:rPr>
              <w:t>0</w:t>
            </w:r>
            <w:r>
              <w:rPr>
                <w:rFonts w:hint="eastAsia" w:ascii="Times New Roman" w:hAnsi="Times New Roman" w:eastAsia="宋体" w:cs="Times New Roman"/>
                <w:kern w:val="0"/>
                <w:sz w:val="18"/>
                <w:szCs w:val="18"/>
                <w:vertAlign w:val="superscript"/>
              </w:rPr>
              <w:t>c</w:t>
            </w:r>
          </w:p>
        </w:tc>
        <w:tc>
          <w:tcPr>
            <w:tcW w:w="151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2.53±0.28</w:t>
            </w:r>
            <w:r>
              <w:rPr>
                <w:rFonts w:hint="eastAsia" w:ascii="Times New Roman" w:hAnsi="Times New Roman" w:eastAsia="宋体" w:cs="Times New Roman"/>
                <w:kern w:val="0"/>
                <w:sz w:val="18"/>
                <w:szCs w:val="18"/>
                <w:vertAlign w:val="superscript"/>
              </w:rPr>
              <w:t>ab</w:t>
            </w:r>
          </w:p>
        </w:tc>
        <w:tc>
          <w:tcPr>
            <w:tcW w:w="1482"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36.51±5.36</w:t>
            </w:r>
            <w:r>
              <w:rPr>
                <w:rFonts w:hint="eastAsia" w:ascii="Times New Roman" w:hAnsi="Times New Roman" w:eastAsia="宋体" w:cs="Times New Roman"/>
                <w:kern w:val="0"/>
                <w:sz w:val="18"/>
                <w:szCs w:val="18"/>
                <w:vertAlign w:val="superscript"/>
              </w:rPr>
              <w:t>b</w:t>
            </w:r>
          </w:p>
        </w:tc>
        <w:tc>
          <w:tcPr>
            <w:tcW w:w="1857"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2.56±0.53</w:t>
            </w:r>
            <w:r>
              <w:rPr>
                <w:rFonts w:hint="eastAsia" w:ascii="Times New Roman" w:hAnsi="Times New Roman" w:eastAsia="宋体" w:cs="Times New Roman"/>
                <w:kern w:val="0"/>
                <w:sz w:val="18"/>
                <w:szCs w:val="18"/>
                <w:vertAlign w:val="super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1488" w:type="dxa"/>
            <w:tcBorders>
              <w:left w:val="nil"/>
              <w:right w:val="nil"/>
            </w:tcBorders>
            <w:vAlign w:val="center"/>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轻成熟果实</w:t>
            </w:r>
          </w:p>
        </w:tc>
        <w:tc>
          <w:tcPr>
            <w:tcW w:w="1123" w:type="dxa"/>
            <w:tcBorders>
              <w:left w:val="nil"/>
              <w:right w:val="nil"/>
            </w:tcBorders>
            <w:vAlign w:val="center"/>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黄色</w:t>
            </w:r>
          </w:p>
        </w:tc>
        <w:tc>
          <w:tcPr>
            <w:tcW w:w="1503"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0.19</w:t>
            </w:r>
            <w:r>
              <w:rPr>
                <w:rFonts w:ascii="Times New Roman" w:hAnsi="Times New Roman" w:eastAsia="宋体" w:cs="Times New Roman"/>
                <w:kern w:val="0"/>
                <w:sz w:val="18"/>
                <w:szCs w:val="18"/>
              </w:rPr>
              <w:t>±</w:t>
            </w:r>
            <w:r>
              <w:rPr>
                <w:rFonts w:hint="eastAsia" w:ascii="Times New Roman" w:hAnsi="Times New Roman" w:eastAsia="宋体" w:cs="Times New Roman"/>
                <w:kern w:val="0"/>
                <w:sz w:val="18"/>
                <w:szCs w:val="18"/>
              </w:rPr>
              <w:t>0.01</w:t>
            </w:r>
            <w:r>
              <w:rPr>
                <w:rFonts w:hint="eastAsia" w:ascii="Times New Roman" w:hAnsi="Times New Roman" w:eastAsia="宋体" w:cs="Times New Roman"/>
                <w:kern w:val="0"/>
                <w:sz w:val="18"/>
                <w:szCs w:val="18"/>
                <w:vertAlign w:val="superscript"/>
              </w:rPr>
              <w:t>c</w:t>
            </w:r>
          </w:p>
        </w:tc>
        <w:tc>
          <w:tcPr>
            <w:tcW w:w="151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2.74±0.11</w:t>
            </w:r>
            <w:r>
              <w:rPr>
                <w:rFonts w:hint="eastAsia" w:ascii="Times New Roman" w:hAnsi="Times New Roman" w:eastAsia="宋体" w:cs="Times New Roman"/>
                <w:kern w:val="0"/>
                <w:sz w:val="18"/>
                <w:szCs w:val="18"/>
                <w:vertAlign w:val="superscript"/>
              </w:rPr>
              <w:t>a</w:t>
            </w:r>
          </w:p>
        </w:tc>
        <w:tc>
          <w:tcPr>
            <w:tcW w:w="1482"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47.88±2.95</w:t>
            </w:r>
            <w:r>
              <w:rPr>
                <w:rFonts w:hint="eastAsia" w:ascii="Times New Roman" w:hAnsi="Times New Roman" w:eastAsia="宋体" w:cs="Times New Roman"/>
                <w:kern w:val="0"/>
                <w:sz w:val="18"/>
                <w:szCs w:val="18"/>
                <w:vertAlign w:val="superscript"/>
              </w:rPr>
              <w:t>a</w:t>
            </w:r>
          </w:p>
        </w:tc>
        <w:tc>
          <w:tcPr>
            <w:tcW w:w="1857"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2.67±0.16</w:t>
            </w:r>
            <w:r>
              <w:rPr>
                <w:rFonts w:hint="eastAsia" w:ascii="Times New Roman" w:hAnsi="Times New Roman" w:eastAsia="宋体" w:cs="Times New Roman"/>
                <w:kern w:val="0"/>
                <w:sz w:val="18"/>
                <w:szCs w:val="18"/>
                <w:vertAlign w:val="super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1488" w:type="dxa"/>
            <w:tcBorders>
              <w:left w:val="nil"/>
              <w:right w:val="nil"/>
            </w:tcBorders>
            <w:vAlign w:val="center"/>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中成熟果实</w:t>
            </w:r>
          </w:p>
        </w:tc>
        <w:tc>
          <w:tcPr>
            <w:tcW w:w="1123" w:type="dxa"/>
            <w:tcBorders>
              <w:left w:val="nil"/>
              <w:right w:val="nil"/>
            </w:tcBorders>
            <w:vAlign w:val="center"/>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黄橙色</w:t>
            </w:r>
          </w:p>
        </w:tc>
        <w:tc>
          <w:tcPr>
            <w:tcW w:w="1503"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0.23±0.01</w:t>
            </w:r>
            <w:r>
              <w:rPr>
                <w:rFonts w:hint="eastAsia" w:ascii="Times New Roman" w:hAnsi="Times New Roman" w:eastAsia="宋体" w:cs="Times New Roman"/>
                <w:kern w:val="0"/>
                <w:sz w:val="18"/>
                <w:szCs w:val="18"/>
                <w:vertAlign w:val="superscript"/>
              </w:rPr>
              <w:t>b</w:t>
            </w:r>
          </w:p>
        </w:tc>
        <w:tc>
          <w:tcPr>
            <w:tcW w:w="151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2.29±0.15</w:t>
            </w:r>
            <w:r>
              <w:rPr>
                <w:rFonts w:hint="eastAsia" w:ascii="Times New Roman" w:hAnsi="Times New Roman" w:eastAsia="宋体" w:cs="Times New Roman"/>
                <w:kern w:val="0"/>
                <w:sz w:val="18"/>
                <w:szCs w:val="18"/>
                <w:vertAlign w:val="superscript"/>
              </w:rPr>
              <w:t>b</w:t>
            </w:r>
          </w:p>
        </w:tc>
        <w:tc>
          <w:tcPr>
            <w:tcW w:w="1482"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50.30±1.52</w:t>
            </w:r>
            <w:r>
              <w:rPr>
                <w:rFonts w:hint="eastAsia" w:ascii="Times New Roman" w:hAnsi="Times New Roman" w:eastAsia="宋体" w:cs="Times New Roman"/>
                <w:kern w:val="0"/>
                <w:sz w:val="18"/>
                <w:szCs w:val="18"/>
                <w:vertAlign w:val="superscript"/>
              </w:rPr>
              <w:t>a</w:t>
            </w:r>
          </w:p>
        </w:tc>
        <w:tc>
          <w:tcPr>
            <w:tcW w:w="1857"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5.28±0.19</w:t>
            </w:r>
            <w:r>
              <w:rPr>
                <w:rFonts w:hint="eastAsia" w:ascii="Times New Roman" w:hAnsi="Times New Roman" w:eastAsia="宋体" w:cs="Times New Roman"/>
                <w:kern w:val="0"/>
                <w:sz w:val="18"/>
                <w:szCs w:val="18"/>
                <w:vertAlign w:val="superscript"/>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1488" w:type="dxa"/>
            <w:tcBorders>
              <w:left w:val="nil"/>
              <w:right w:val="nil"/>
            </w:tcBorders>
            <w:vAlign w:val="center"/>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成熟果</w:t>
            </w:r>
          </w:p>
        </w:tc>
        <w:tc>
          <w:tcPr>
            <w:tcW w:w="1123" w:type="dxa"/>
            <w:tcBorders>
              <w:left w:val="nil"/>
              <w:right w:val="nil"/>
            </w:tcBorders>
            <w:vAlign w:val="center"/>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橙红色</w:t>
            </w:r>
          </w:p>
        </w:tc>
        <w:tc>
          <w:tcPr>
            <w:tcW w:w="1503"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0.41±0.04</w:t>
            </w:r>
            <w:r>
              <w:rPr>
                <w:rFonts w:hint="eastAsia" w:ascii="Times New Roman" w:hAnsi="Times New Roman" w:eastAsia="宋体" w:cs="Times New Roman"/>
                <w:kern w:val="0"/>
                <w:sz w:val="18"/>
                <w:szCs w:val="18"/>
                <w:vertAlign w:val="superscript"/>
              </w:rPr>
              <w:t>a</w:t>
            </w:r>
          </w:p>
        </w:tc>
        <w:tc>
          <w:tcPr>
            <w:tcW w:w="151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1.35±0.20</w:t>
            </w:r>
            <w:r>
              <w:rPr>
                <w:rFonts w:hint="eastAsia" w:ascii="Times New Roman" w:hAnsi="Times New Roman" w:eastAsia="宋体" w:cs="Times New Roman"/>
                <w:kern w:val="0"/>
                <w:sz w:val="18"/>
                <w:szCs w:val="18"/>
                <w:vertAlign w:val="superscript"/>
              </w:rPr>
              <w:t>c</w:t>
            </w:r>
          </w:p>
        </w:tc>
        <w:tc>
          <w:tcPr>
            <w:tcW w:w="1482"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48.43±1.60</w:t>
            </w:r>
            <w:r>
              <w:rPr>
                <w:rFonts w:hint="eastAsia" w:ascii="Times New Roman" w:hAnsi="Times New Roman" w:eastAsia="宋体" w:cs="Times New Roman"/>
                <w:kern w:val="0"/>
                <w:sz w:val="18"/>
                <w:szCs w:val="18"/>
                <w:vertAlign w:val="superscript"/>
              </w:rPr>
              <w:t>a</w:t>
            </w:r>
          </w:p>
        </w:tc>
        <w:tc>
          <w:tcPr>
            <w:tcW w:w="1857"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6.65±0.11</w:t>
            </w:r>
            <w:r>
              <w:rPr>
                <w:rFonts w:hint="eastAsia" w:ascii="Times New Roman" w:hAnsi="Times New Roman" w:eastAsia="宋体" w:cs="Times New Roman"/>
                <w:kern w:val="0"/>
                <w:sz w:val="18"/>
                <w:szCs w:val="18"/>
                <w:vertAlign w:val="superscript"/>
              </w:rPr>
              <w:t>a</w:t>
            </w:r>
          </w:p>
        </w:tc>
      </w:tr>
    </w:tbl>
    <w:p>
      <w:pPr>
        <w:spacing w:before="312" w:beforeLines="100" w:after="312" w:afterLines="100" w:line="360" w:lineRule="auto"/>
        <w:ind w:firstLine="480" w:firstLineChars="200"/>
        <w:rPr>
          <w:rFonts w:ascii="Times New Roman" w:hAnsi="Times New Roman" w:eastAsia="宋体" w:cs="Times New Roman"/>
          <w:color w:val="FF0000"/>
          <w:sz w:val="24"/>
          <w:szCs w:val="24"/>
        </w:rPr>
      </w:pPr>
      <w:r>
        <w:rPr>
          <w:rFonts w:hint="eastAsia" w:ascii="Times New Roman" w:hAnsi="Times New Roman" w:eastAsia="宋体" w:cs="Times New Roman"/>
          <w:sz w:val="24"/>
          <w:szCs w:val="24"/>
        </w:rPr>
        <w:t>因表2可知，4种成熟度果中的栀子苷均高于《中国药典》要求的 1.8% ，轻成熟果、中成熟果、成熟果中无统计学差异（P&gt;0.05），以中成熟果最高，三者显著高于青果（P&lt;0.05）；栀子酸和西红花苷Ⅰ随果实成熟含量显著增加（P&lt;0.05），在成熟果中含量最高；绿原酸和栀子苷随果实成熟有先升后降的趋势，在轻成熟果中含量最高；因此，综合来说，栀子采收以中成熟和成熟时采收最佳。</w:t>
      </w:r>
      <w:r>
        <w:rPr>
          <w:rFonts w:ascii="Times New Roman" w:hAnsi="Times New Roman" w:eastAsia="宋体" w:cs="Times New Roman"/>
          <w:color w:val="FF0000"/>
          <w:sz w:val="24"/>
          <w:szCs w:val="24"/>
        </w:rPr>
        <w:t xml:space="preserve"> </w:t>
      </w:r>
    </w:p>
    <w:p>
      <w:pPr>
        <w:spacing w:line="360" w:lineRule="auto"/>
        <w:ind w:firstLine="480" w:firstLineChars="200"/>
        <w:rPr>
          <w:rFonts w:ascii="Times New Roman" w:hAnsi="Times New Roman" w:eastAsia="宋体" w:cs="Times New Roman"/>
          <w:color w:val="FF0000"/>
          <w:sz w:val="24"/>
          <w:szCs w:val="24"/>
        </w:rPr>
      </w:pPr>
      <w:r>
        <w:rPr>
          <w:rFonts w:hint="eastAsia" w:ascii="Times New Roman" w:hAnsi="Times New Roman" w:eastAsia="宋体" w:cs="Times New Roman"/>
          <w:sz w:val="24"/>
          <w:szCs w:val="24"/>
        </w:rPr>
        <w:t>（2）</w:t>
      </w:r>
      <w:r>
        <w:rPr>
          <w:rFonts w:ascii="Times New Roman" w:hAnsi="Times New Roman" w:eastAsia="宋体" w:cs="Times New Roman"/>
          <w:sz w:val="24"/>
          <w:szCs w:val="24"/>
        </w:rPr>
        <w:t>产地初加工方法的确定</w:t>
      </w:r>
    </w:p>
    <w:p>
      <w:pPr>
        <w:spacing w:line="360" w:lineRule="auto"/>
        <w:ind w:firstLine="420" w:firstLineChars="200"/>
        <w:jc w:val="center"/>
        <w:rPr>
          <w:rFonts w:ascii="Times New Roman" w:hAnsi="Times New Roman" w:eastAsia="黑体" w:cs="Times New Roman"/>
        </w:rPr>
      </w:pPr>
      <w:r>
        <w:rPr>
          <w:rFonts w:ascii="Times New Roman" w:hAnsi="Times New Roman" w:eastAsia="黑体" w:cs="Times New Roman"/>
        </w:rPr>
        <w:t>表</w:t>
      </w:r>
      <w:r>
        <w:rPr>
          <w:rFonts w:hint="eastAsia" w:ascii="Times New Roman" w:hAnsi="Times New Roman" w:eastAsia="黑体" w:cs="Times New Roman"/>
        </w:rPr>
        <w:t>3蒸法杀青时间对栀子中活性成分含量的影响</w:t>
      </w:r>
      <w:r>
        <w:rPr>
          <w:rFonts w:ascii="Times New Roman" w:hAnsi="Times New Roman" w:eastAsia="黑体" w:cs="Times New Roman"/>
        </w:rPr>
        <w:t>（%）</w:t>
      </w:r>
    </w:p>
    <w:tbl>
      <w:tblPr>
        <w:tblStyle w:val="6"/>
        <w:tblW w:w="89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1"/>
        <w:gridCol w:w="1771"/>
        <w:gridCol w:w="1771"/>
        <w:gridCol w:w="1771"/>
        <w:gridCol w:w="1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tcBorders>
              <w:left w:val="nil"/>
              <w:right w:val="nil"/>
            </w:tcBorders>
            <w:vAlign w:val="center"/>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时间</w:t>
            </w:r>
          </w:p>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(s)</w:t>
            </w:r>
          </w:p>
        </w:tc>
        <w:tc>
          <w:tcPr>
            <w:tcW w:w="177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栀子酸含量</w:t>
            </w:r>
          </w:p>
          <w:p>
            <w:pPr>
              <w:autoSpaceDE w:val="0"/>
              <w:autoSpaceDN w:val="0"/>
              <w:spacing w:before="35" w:line="360" w:lineRule="auto"/>
              <w:ind w:left="143" w:right="156"/>
              <w:jc w:val="center"/>
              <w:rPr>
                <w:rFonts w:ascii="Times New Roman" w:hAnsi="Times New Roman" w:eastAsia="宋体" w:cs="Times New Roman"/>
                <w:sz w:val="24"/>
                <w:szCs w:val="24"/>
              </w:rPr>
            </w:pPr>
            <w:r>
              <w:rPr>
                <w:rFonts w:hint="eastAsia" w:ascii="Times New Roman" w:hAnsi="Times New Roman" w:eastAsia="宋体" w:cs="Times New Roman"/>
                <w:kern w:val="0"/>
                <w:sz w:val="18"/>
                <w:szCs w:val="18"/>
              </w:rPr>
              <w:t>（mg/g）</w:t>
            </w:r>
          </w:p>
        </w:tc>
        <w:tc>
          <w:tcPr>
            <w:tcW w:w="177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绿原酸含量</w:t>
            </w:r>
          </w:p>
          <w:p>
            <w:pPr>
              <w:autoSpaceDE w:val="0"/>
              <w:autoSpaceDN w:val="0"/>
              <w:spacing w:before="35" w:line="360" w:lineRule="auto"/>
              <w:ind w:left="143" w:right="156"/>
              <w:jc w:val="center"/>
              <w:rPr>
                <w:rFonts w:ascii="Times New Roman" w:hAnsi="Times New Roman" w:eastAsia="宋体" w:cs="Times New Roman"/>
                <w:sz w:val="18"/>
                <w:szCs w:val="18"/>
              </w:rPr>
            </w:pPr>
            <w:r>
              <w:rPr>
                <w:rFonts w:hint="eastAsia" w:ascii="Times New Roman" w:hAnsi="Times New Roman" w:eastAsia="宋体" w:cs="Times New Roman"/>
                <w:kern w:val="0"/>
                <w:sz w:val="18"/>
                <w:szCs w:val="18"/>
              </w:rPr>
              <w:t>（mg/g）</w:t>
            </w:r>
          </w:p>
        </w:tc>
        <w:tc>
          <w:tcPr>
            <w:tcW w:w="177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栀子苷含量</w:t>
            </w:r>
          </w:p>
          <w:p>
            <w:pPr>
              <w:autoSpaceDE w:val="0"/>
              <w:autoSpaceDN w:val="0"/>
              <w:spacing w:before="35" w:line="360" w:lineRule="auto"/>
              <w:ind w:left="143" w:right="156"/>
              <w:jc w:val="center"/>
              <w:rPr>
                <w:rFonts w:ascii="Times New Roman" w:hAnsi="Times New Roman" w:eastAsia="宋体" w:cs="Times New Roman"/>
                <w:sz w:val="24"/>
                <w:szCs w:val="24"/>
              </w:rPr>
            </w:pPr>
            <w:r>
              <w:rPr>
                <w:rFonts w:hint="eastAsia" w:ascii="Times New Roman" w:hAnsi="Times New Roman" w:eastAsia="宋体" w:cs="Times New Roman"/>
                <w:kern w:val="0"/>
                <w:sz w:val="18"/>
                <w:szCs w:val="18"/>
              </w:rPr>
              <w:t>（mg/g）</w:t>
            </w:r>
          </w:p>
        </w:tc>
        <w:tc>
          <w:tcPr>
            <w:tcW w:w="1880"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西红花苷Ⅰ含量</w:t>
            </w:r>
          </w:p>
          <w:p>
            <w:pPr>
              <w:autoSpaceDE w:val="0"/>
              <w:autoSpaceDN w:val="0"/>
              <w:spacing w:before="35" w:line="360" w:lineRule="auto"/>
              <w:ind w:left="143" w:right="156"/>
              <w:jc w:val="center"/>
              <w:rPr>
                <w:rFonts w:ascii="Times New Roman" w:hAnsi="Times New Roman" w:eastAsia="宋体" w:cs="Times New Roman"/>
                <w:sz w:val="24"/>
                <w:szCs w:val="24"/>
              </w:rPr>
            </w:pPr>
            <w:r>
              <w:rPr>
                <w:rFonts w:hint="eastAsia" w:ascii="Times New Roman" w:hAnsi="Times New Roman" w:eastAsia="宋体" w:cs="Times New Roman"/>
                <w:kern w:val="0"/>
                <w:sz w:val="18"/>
                <w:szCs w:val="18"/>
              </w:rPr>
              <w:t>（mg/g）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tcBorders>
              <w:top w:val="nil"/>
              <w:left w:val="nil"/>
              <w:bottom w:val="nil"/>
              <w:right w:val="nil"/>
            </w:tcBorders>
            <w:vAlign w:val="center"/>
          </w:tcPr>
          <w:p>
            <w:pPr>
              <w:autoSpaceDE w:val="0"/>
              <w:autoSpaceDN w:val="0"/>
              <w:spacing w:before="5" w:line="360" w:lineRule="auto"/>
              <w:ind w:right="17"/>
              <w:jc w:val="center"/>
              <w:rPr>
                <w:rFonts w:ascii="Times New Roman" w:hAnsi="Times New Roman" w:eastAsia="宋体" w:cs="Times New Roman"/>
                <w:szCs w:val="21"/>
              </w:rPr>
            </w:pPr>
            <w:r>
              <w:rPr>
                <w:rFonts w:hint="eastAsia" w:ascii="Times New Roman" w:hAnsi="Times New Roman" w:eastAsia="宋体" w:cs="Times New Roman"/>
                <w:kern w:val="0"/>
                <w:szCs w:val="21"/>
              </w:rPr>
              <w:t>30</w:t>
            </w:r>
          </w:p>
        </w:tc>
        <w:tc>
          <w:tcPr>
            <w:tcW w:w="1771" w:type="dxa"/>
            <w:tcBorders>
              <w:top w:val="nil"/>
              <w:left w:val="nil"/>
              <w:bottom w:val="nil"/>
              <w:right w:val="nil"/>
            </w:tcBorders>
          </w:tcPr>
          <w:p>
            <w:pPr>
              <w:spacing w:line="360" w:lineRule="auto"/>
              <w:rPr>
                <w:rFonts w:ascii="Times New Roman" w:hAnsi="Times New Roman" w:eastAsia="宋体" w:cs="Times New Roman"/>
                <w:sz w:val="18"/>
                <w:szCs w:val="18"/>
              </w:rPr>
            </w:pPr>
            <w:r>
              <w:rPr>
                <w:rFonts w:hint="eastAsia" w:ascii="Times New Roman" w:hAnsi="Times New Roman" w:eastAsia="宋体" w:cs="Times New Roman"/>
                <w:sz w:val="18"/>
                <w:szCs w:val="18"/>
              </w:rPr>
              <w:t>0.36±0.02</w:t>
            </w:r>
            <w:r>
              <w:rPr>
                <w:rFonts w:hint="eastAsia" w:ascii="Times New Roman" w:hAnsi="Times New Roman" w:eastAsia="宋体" w:cs="Times New Roman"/>
                <w:sz w:val="18"/>
                <w:szCs w:val="18"/>
                <w:vertAlign w:val="superscript"/>
              </w:rPr>
              <w:t>a</w:t>
            </w:r>
          </w:p>
        </w:tc>
        <w:tc>
          <w:tcPr>
            <w:tcW w:w="1771" w:type="dxa"/>
            <w:tcBorders>
              <w:top w:val="nil"/>
              <w:left w:val="nil"/>
              <w:bottom w:val="nil"/>
              <w:right w:val="nil"/>
            </w:tcBorders>
          </w:tcPr>
          <w:p>
            <w:pPr>
              <w:spacing w:line="360" w:lineRule="auto"/>
              <w:rPr>
                <w:rFonts w:ascii="Times New Roman" w:hAnsi="Times New Roman" w:eastAsia="宋体" w:cs="Times New Roman"/>
                <w:sz w:val="18"/>
                <w:szCs w:val="18"/>
              </w:rPr>
            </w:pPr>
            <w:r>
              <w:rPr>
                <w:rFonts w:hint="eastAsia" w:ascii="Times New Roman" w:hAnsi="Times New Roman" w:eastAsia="宋体" w:cs="Times New Roman"/>
                <w:sz w:val="18"/>
                <w:szCs w:val="18"/>
              </w:rPr>
              <w:t>0.42±0.01</w:t>
            </w:r>
            <w:r>
              <w:rPr>
                <w:rFonts w:hint="eastAsia" w:ascii="Times New Roman" w:hAnsi="Times New Roman" w:eastAsia="宋体" w:cs="Times New Roman"/>
                <w:sz w:val="18"/>
                <w:szCs w:val="18"/>
                <w:vertAlign w:val="superscript"/>
              </w:rPr>
              <w:t>b</w:t>
            </w:r>
          </w:p>
        </w:tc>
        <w:tc>
          <w:tcPr>
            <w:tcW w:w="1771" w:type="dxa"/>
            <w:tcBorders>
              <w:top w:val="nil"/>
              <w:left w:val="nil"/>
              <w:bottom w:val="nil"/>
              <w:right w:val="nil"/>
            </w:tcBorders>
          </w:tcPr>
          <w:p>
            <w:pPr>
              <w:spacing w:line="360" w:lineRule="auto"/>
              <w:rPr>
                <w:rFonts w:ascii="Times New Roman" w:hAnsi="Times New Roman" w:eastAsia="宋体" w:cs="Times New Roman"/>
                <w:sz w:val="18"/>
                <w:szCs w:val="18"/>
              </w:rPr>
            </w:pPr>
            <w:r>
              <w:rPr>
                <w:rFonts w:hint="eastAsia" w:ascii="Times New Roman" w:hAnsi="Times New Roman" w:eastAsia="宋体" w:cs="Times New Roman"/>
                <w:sz w:val="18"/>
                <w:szCs w:val="18"/>
              </w:rPr>
              <w:t>43.40±0.54</w:t>
            </w:r>
            <w:r>
              <w:rPr>
                <w:rFonts w:hint="eastAsia" w:ascii="Times New Roman" w:hAnsi="Times New Roman" w:eastAsia="宋体" w:cs="Times New Roman"/>
                <w:sz w:val="18"/>
                <w:szCs w:val="18"/>
                <w:vertAlign w:val="superscript"/>
              </w:rPr>
              <w:t>ab</w:t>
            </w:r>
          </w:p>
        </w:tc>
        <w:tc>
          <w:tcPr>
            <w:tcW w:w="1880" w:type="dxa"/>
            <w:tcBorders>
              <w:top w:val="nil"/>
              <w:left w:val="nil"/>
              <w:bottom w:val="nil"/>
              <w:right w:val="nil"/>
            </w:tcBorders>
          </w:tcPr>
          <w:p>
            <w:pPr>
              <w:spacing w:line="360" w:lineRule="auto"/>
              <w:rPr>
                <w:rFonts w:ascii="Times New Roman" w:hAnsi="Times New Roman" w:eastAsia="宋体" w:cs="Times New Roman"/>
                <w:sz w:val="18"/>
                <w:szCs w:val="18"/>
              </w:rPr>
            </w:pPr>
            <w:r>
              <w:rPr>
                <w:rFonts w:hint="eastAsia" w:ascii="Times New Roman" w:hAnsi="Times New Roman" w:eastAsia="宋体" w:cs="Times New Roman"/>
                <w:sz w:val="18"/>
                <w:szCs w:val="18"/>
              </w:rPr>
              <w:t>3.57±0.20</w:t>
            </w:r>
            <w:r>
              <w:rPr>
                <w:rFonts w:hint="eastAsia" w:ascii="Times New Roman" w:hAnsi="Times New Roman" w:eastAsia="宋体" w:cs="Times New Roman"/>
                <w:sz w:val="18"/>
                <w:szCs w:val="18"/>
                <w:vertAlign w:val="superscript"/>
              </w:rPr>
              <w:t>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tcBorders>
              <w:top w:val="nil"/>
              <w:left w:val="nil"/>
              <w:bottom w:val="nil"/>
              <w:right w:val="nil"/>
            </w:tcBorders>
            <w:vAlign w:val="center"/>
          </w:tcPr>
          <w:p>
            <w:pPr>
              <w:autoSpaceDE w:val="0"/>
              <w:autoSpaceDN w:val="0"/>
              <w:spacing w:before="3" w:line="360" w:lineRule="auto"/>
              <w:ind w:left="143" w:right="95"/>
              <w:jc w:val="center"/>
              <w:rPr>
                <w:rFonts w:ascii="Times New Roman" w:hAnsi="Times New Roman" w:eastAsia="宋体" w:cs="Times New Roman"/>
                <w:szCs w:val="21"/>
              </w:rPr>
            </w:pPr>
            <w:r>
              <w:rPr>
                <w:rFonts w:hint="eastAsia" w:ascii="Times New Roman" w:hAnsi="Times New Roman" w:eastAsia="宋体" w:cs="Times New Roman"/>
                <w:kern w:val="0"/>
                <w:szCs w:val="21"/>
              </w:rPr>
              <w:t>60</w:t>
            </w:r>
          </w:p>
        </w:tc>
        <w:tc>
          <w:tcPr>
            <w:tcW w:w="1771" w:type="dxa"/>
            <w:tcBorders>
              <w:top w:val="nil"/>
              <w:left w:val="nil"/>
              <w:bottom w:val="nil"/>
              <w:right w:val="nil"/>
            </w:tcBorders>
          </w:tcPr>
          <w:p>
            <w:pPr>
              <w:spacing w:line="360" w:lineRule="auto"/>
              <w:rPr>
                <w:rFonts w:ascii="Times New Roman" w:hAnsi="Times New Roman" w:eastAsia="宋体" w:cs="Times New Roman"/>
                <w:sz w:val="18"/>
                <w:szCs w:val="18"/>
              </w:rPr>
            </w:pPr>
            <w:r>
              <w:rPr>
                <w:rFonts w:hint="eastAsia" w:ascii="Times New Roman" w:hAnsi="Times New Roman" w:eastAsia="宋体" w:cs="Times New Roman"/>
                <w:sz w:val="18"/>
                <w:szCs w:val="18"/>
              </w:rPr>
              <w:t>0.19±0.02</w:t>
            </w:r>
            <w:r>
              <w:rPr>
                <w:rFonts w:hint="eastAsia" w:ascii="Times New Roman" w:hAnsi="Times New Roman" w:eastAsia="宋体" w:cs="Times New Roman"/>
                <w:sz w:val="18"/>
                <w:szCs w:val="18"/>
                <w:vertAlign w:val="superscript"/>
              </w:rPr>
              <w:t>b</w:t>
            </w:r>
          </w:p>
        </w:tc>
        <w:tc>
          <w:tcPr>
            <w:tcW w:w="1771" w:type="dxa"/>
            <w:tcBorders>
              <w:top w:val="nil"/>
              <w:left w:val="nil"/>
              <w:bottom w:val="nil"/>
              <w:right w:val="nil"/>
            </w:tcBorders>
          </w:tcPr>
          <w:p>
            <w:pPr>
              <w:spacing w:line="360" w:lineRule="auto"/>
              <w:rPr>
                <w:rFonts w:ascii="Times New Roman" w:hAnsi="Times New Roman" w:eastAsia="宋体" w:cs="Times New Roman"/>
                <w:sz w:val="18"/>
                <w:szCs w:val="18"/>
              </w:rPr>
            </w:pPr>
            <w:r>
              <w:rPr>
                <w:rFonts w:hint="eastAsia" w:ascii="Times New Roman" w:hAnsi="Times New Roman" w:eastAsia="宋体" w:cs="Times New Roman"/>
                <w:sz w:val="18"/>
                <w:szCs w:val="18"/>
              </w:rPr>
              <w:t>0.32±0.02</w:t>
            </w:r>
            <w:r>
              <w:rPr>
                <w:rFonts w:hint="eastAsia" w:ascii="Times New Roman" w:hAnsi="Times New Roman" w:eastAsia="宋体" w:cs="Times New Roman"/>
                <w:sz w:val="18"/>
                <w:szCs w:val="18"/>
                <w:vertAlign w:val="superscript"/>
              </w:rPr>
              <w:t>b</w:t>
            </w:r>
          </w:p>
        </w:tc>
        <w:tc>
          <w:tcPr>
            <w:tcW w:w="1771" w:type="dxa"/>
            <w:tcBorders>
              <w:top w:val="nil"/>
              <w:left w:val="nil"/>
              <w:bottom w:val="nil"/>
              <w:right w:val="nil"/>
            </w:tcBorders>
          </w:tcPr>
          <w:p>
            <w:pPr>
              <w:spacing w:line="360" w:lineRule="auto"/>
              <w:rPr>
                <w:rFonts w:ascii="Times New Roman" w:hAnsi="Times New Roman" w:eastAsia="宋体" w:cs="Times New Roman"/>
                <w:sz w:val="18"/>
                <w:szCs w:val="18"/>
              </w:rPr>
            </w:pPr>
            <w:r>
              <w:rPr>
                <w:rFonts w:hint="eastAsia" w:ascii="Times New Roman" w:hAnsi="Times New Roman" w:eastAsia="宋体" w:cs="Times New Roman"/>
                <w:sz w:val="18"/>
                <w:szCs w:val="18"/>
              </w:rPr>
              <w:t>42.13±0.20</w:t>
            </w:r>
            <w:r>
              <w:rPr>
                <w:rFonts w:hint="eastAsia" w:ascii="Times New Roman" w:hAnsi="Times New Roman" w:eastAsia="宋体" w:cs="Times New Roman"/>
                <w:sz w:val="18"/>
                <w:szCs w:val="18"/>
                <w:vertAlign w:val="superscript"/>
              </w:rPr>
              <w:t>b</w:t>
            </w:r>
          </w:p>
        </w:tc>
        <w:tc>
          <w:tcPr>
            <w:tcW w:w="1880" w:type="dxa"/>
            <w:tcBorders>
              <w:top w:val="nil"/>
              <w:left w:val="nil"/>
              <w:bottom w:val="nil"/>
              <w:right w:val="nil"/>
            </w:tcBorders>
          </w:tcPr>
          <w:p>
            <w:pPr>
              <w:spacing w:line="360" w:lineRule="auto"/>
              <w:rPr>
                <w:rFonts w:ascii="Times New Roman" w:hAnsi="Times New Roman" w:eastAsia="宋体" w:cs="Times New Roman"/>
                <w:sz w:val="18"/>
                <w:szCs w:val="18"/>
              </w:rPr>
            </w:pPr>
            <w:r>
              <w:rPr>
                <w:rFonts w:hint="eastAsia" w:ascii="Times New Roman" w:hAnsi="Times New Roman" w:eastAsia="宋体" w:cs="Times New Roman"/>
                <w:sz w:val="18"/>
                <w:szCs w:val="18"/>
              </w:rPr>
              <w:t>3.17±0.08</w:t>
            </w:r>
            <w:r>
              <w:rPr>
                <w:rFonts w:hint="eastAsia" w:ascii="Times New Roman" w:hAnsi="Times New Roman" w:eastAsia="宋体" w:cs="Times New Roman"/>
                <w:sz w:val="18"/>
                <w:szCs w:val="18"/>
                <w:vertAlign w:val="super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71" w:type="dxa"/>
            <w:tcBorders>
              <w:top w:val="nil"/>
              <w:left w:val="nil"/>
              <w:bottom w:val="nil"/>
              <w:right w:val="nil"/>
            </w:tcBorders>
            <w:vAlign w:val="center"/>
          </w:tcPr>
          <w:p>
            <w:pPr>
              <w:autoSpaceDE w:val="0"/>
              <w:autoSpaceDN w:val="0"/>
              <w:spacing w:before="4" w:line="360" w:lineRule="auto"/>
              <w:ind w:left="143" w:right="95"/>
              <w:jc w:val="center"/>
              <w:rPr>
                <w:rFonts w:ascii="Times New Roman" w:hAnsi="Times New Roman" w:eastAsia="宋体" w:cs="Times New Roman"/>
                <w:szCs w:val="21"/>
              </w:rPr>
            </w:pPr>
            <w:r>
              <w:rPr>
                <w:rFonts w:hint="eastAsia" w:ascii="Times New Roman" w:hAnsi="Times New Roman" w:eastAsia="宋体" w:cs="Times New Roman"/>
                <w:kern w:val="0"/>
                <w:szCs w:val="21"/>
              </w:rPr>
              <w:t>90</w:t>
            </w:r>
          </w:p>
        </w:tc>
        <w:tc>
          <w:tcPr>
            <w:tcW w:w="1771" w:type="dxa"/>
            <w:tcBorders>
              <w:top w:val="nil"/>
              <w:left w:val="nil"/>
              <w:bottom w:val="nil"/>
              <w:right w:val="nil"/>
            </w:tcBorders>
          </w:tcPr>
          <w:p>
            <w:pPr>
              <w:spacing w:line="360" w:lineRule="auto"/>
              <w:rPr>
                <w:rFonts w:ascii="Times New Roman" w:hAnsi="Times New Roman" w:eastAsia="宋体" w:cs="Times New Roman"/>
                <w:sz w:val="18"/>
                <w:szCs w:val="18"/>
              </w:rPr>
            </w:pPr>
            <w:r>
              <w:rPr>
                <w:rFonts w:hint="eastAsia" w:ascii="Times New Roman" w:hAnsi="Times New Roman" w:eastAsia="宋体" w:cs="Times New Roman"/>
                <w:sz w:val="18"/>
                <w:szCs w:val="18"/>
              </w:rPr>
              <w:t>0.21±0.01</w:t>
            </w:r>
            <w:r>
              <w:rPr>
                <w:rFonts w:hint="eastAsia" w:ascii="Times New Roman" w:hAnsi="Times New Roman" w:eastAsia="宋体" w:cs="Times New Roman"/>
                <w:sz w:val="18"/>
                <w:szCs w:val="18"/>
                <w:vertAlign w:val="superscript"/>
              </w:rPr>
              <w:t>b</w:t>
            </w:r>
          </w:p>
        </w:tc>
        <w:tc>
          <w:tcPr>
            <w:tcW w:w="1771" w:type="dxa"/>
            <w:tcBorders>
              <w:top w:val="nil"/>
              <w:left w:val="nil"/>
              <w:bottom w:val="nil"/>
              <w:right w:val="nil"/>
            </w:tcBorders>
          </w:tcPr>
          <w:p>
            <w:pPr>
              <w:spacing w:line="360" w:lineRule="auto"/>
              <w:rPr>
                <w:rFonts w:ascii="Times New Roman" w:hAnsi="Times New Roman" w:eastAsia="宋体" w:cs="Times New Roman"/>
                <w:sz w:val="18"/>
                <w:szCs w:val="18"/>
              </w:rPr>
            </w:pPr>
            <w:r>
              <w:rPr>
                <w:rFonts w:hint="eastAsia" w:ascii="Times New Roman" w:hAnsi="Times New Roman" w:eastAsia="宋体" w:cs="Times New Roman"/>
                <w:sz w:val="18"/>
                <w:szCs w:val="18"/>
              </w:rPr>
              <w:t>2.43±0.26</w:t>
            </w:r>
            <w:r>
              <w:rPr>
                <w:rFonts w:hint="eastAsia" w:ascii="Times New Roman" w:hAnsi="Times New Roman" w:eastAsia="宋体" w:cs="Times New Roman"/>
                <w:sz w:val="18"/>
                <w:szCs w:val="18"/>
                <w:vertAlign w:val="superscript"/>
              </w:rPr>
              <w:t>a</w:t>
            </w:r>
          </w:p>
        </w:tc>
        <w:tc>
          <w:tcPr>
            <w:tcW w:w="1771" w:type="dxa"/>
            <w:tcBorders>
              <w:top w:val="nil"/>
              <w:left w:val="nil"/>
              <w:bottom w:val="nil"/>
              <w:right w:val="nil"/>
            </w:tcBorders>
          </w:tcPr>
          <w:p>
            <w:pPr>
              <w:spacing w:line="360" w:lineRule="auto"/>
              <w:rPr>
                <w:rFonts w:ascii="Times New Roman" w:hAnsi="Times New Roman" w:eastAsia="宋体" w:cs="Times New Roman"/>
                <w:sz w:val="18"/>
                <w:szCs w:val="18"/>
              </w:rPr>
            </w:pPr>
            <w:r>
              <w:rPr>
                <w:rFonts w:hint="eastAsia" w:ascii="Times New Roman" w:hAnsi="Times New Roman" w:eastAsia="宋体" w:cs="Times New Roman"/>
                <w:sz w:val="18"/>
                <w:szCs w:val="18"/>
              </w:rPr>
              <w:t>44.19±4.67</w:t>
            </w:r>
            <w:r>
              <w:rPr>
                <w:rFonts w:hint="eastAsia" w:ascii="Times New Roman" w:hAnsi="Times New Roman" w:eastAsia="宋体" w:cs="Times New Roman"/>
                <w:sz w:val="18"/>
                <w:szCs w:val="18"/>
                <w:vertAlign w:val="superscript"/>
              </w:rPr>
              <w:t>ab</w:t>
            </w:r>
          </w:p>
        </w:tc>
        <w:tc>
          <w:tcPr>
            <w:tcW w:w="1880" w:type="dxa"/>
            <w:tcBorders>
              <w:top w:val="nil"/>
              <w:left w:val="nil"/>
              <w:bottom w:val="nil"/>
              <w:right w:val="nil"/>
            </w:tcBorders>
          </w:tcPr>
          <w:p>
            <w:pPr>
              <w:spacing w:line="360" w:lineRule="auto"/>
              <w:rPr>
                <w:rFonts w:ascii="Times New Roman" w:hAnsi="Times New Roman" w:eastAsia="宋体" w:cs="Times New Roman"/>
                <w:sz w:val="18"/>
                <w:szCs w:val="18"/>
              </w:rPr>
            </w:pPr>
            <w:r>
              <w:rPr>
                <w:rFonts w:hint="eastAsia" w:ascii="Times New Roman" w:hAnsi="Times New Roman" w:eastAsia="宋体" w:cs="Times New Roman"/>
                <w:sz w:val="18"/>
                <w:szCs w:val="18"/>
              </w:rPr>
              <w:t>3.88±0.39</w:t>
            </w:r>
            <w:r>
              <w:rPr>
                <w:rFonts w:hint="eastAsia" w:ascii="Times New Roman" w:hAnsi="Times New Roman" w:eastAsia="宋体" w:cs="Times New Roman"/>
                <w:sz w:val="18"/>
                <w:szCs w:val="18"/>
                <w:vertAlign w:val="superscript"/>
              </w:rPr>
              <w:t>ab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tcBorders>
              <w:top w:val="nil"/>
              <w:left w:val="nil"/>
              <w:bottom w:val="single" w:color="auto" w:sz="4" w:space="0"/>
              <w:right w:val="nil"/>
            </w:tcBorders>
            <w:vAlign w:val="center"/>
          </w:tcPr>
          <w:p>
            <w:pPr>
              <w:autoSpaceDE w:val="0"/>
              <w:autoSpaceDN w:val="0"/>
              <w:spacing w:before="3" w:line="360" w:lineRule="auto"/>
              <w:ind w:left="143" w:right="95"/>
              <w:jc w:val="center"/>
              <w:rPr>
                <w:rFonts w:ascii="Times New Roman" w:hAnsi="Times New Roman" w:eastAsia="宋体" w:cs="Times New Roman"/>
                <w:szCs w:val="21"/>
              </w:rPr>
            </w:pPr>
            <w:r>
              <w:rPr>
                <w:rFonts w:hint="eastAsia" w:ascii="Times New Roman" w:hAnsi="Times New Roman" w:eastAsia="宋体" w:cs="Times New Roman"/>
                <w:kern w:val="0"/>
                <w:szCs w:val="21"/>
              </w:rPr>
              <w:t>120</w:t>
            </w:r>
          </w:p>
        </w:tc>
        <w:tc>
          <w:tcPr>
            <w:tcW w:w="1771" w:type="dxa"/>
            <w:tcBorders>
              <w:top w:val="nil"/>
              <w:left w:val="nil"/>
              <w:bottom w:val="single" w:color="auto" w:sz="4" w:space="0"/>
              <w:right w:val="nil"/>
            </w:tcBorders>
          </w:tcPr>
          <w:p>
            <w:pPr>
              <w:spacing w:line="360" w:lineRule="auto"/>
              <w:rPr>
                <w:rFonts w:ascii="Times New Roman" w:hAnsi="Times New Roman" w:eastAsia="宋体" w:cs="Times New Roman"/>
                <w:sz w:val="18"/>
                <w:szCs w:val="18"/>
              </w:rPr>
            </w:pPr>
            <w:r>
              <w:rPr>
                <w:rFonts w:hint="eastAsia" w:ascii="Times New Roman" w:hAnsi="Times New Roman" w:eastAsia="宋体" w:cs="Times New Roman"/>
                <w:sz w:val="18"/>
                <w:szCs w:val="18"/>
              </w:rPr>
              <w:t>0.21±0.00</w:t>
            </w:r>
            <w:r>
              <w:rPr>
                <w:rFonts w:hint="eastAsia" w:ascii="Times New Roman" w:hAnsi="Times New Roman" w:eastAsia="宋体" w:cs="Times New Roman"/>
                <w:sz w:val="18"/>
                <w:szCs w:val="18"/>
                <w:vertAlign w:val="superscript"/>
              </w:rPr>
              <w:t>b</w:t>
            </w:r>
          </w:p>
        </w:tc>
        <w:tc>
          <w:tcPr>
            <w:tcW w:w="1771" w:type="dxa"/>
            <w:tcBorders>
              <w:top w:val="nil"/>
              <w:left w:val="nil"/>
              <w:bottom w:val="single" w:color="auto" w:sz="4" w:space="0"/>
              <w:right w:val="nil"/>
            </w:tcBorders>
          </w:tcPr>
          <w:p>
            <w:pPr>
              <w:spacing w:line="360" w:lineRule="auto"/>
              <w:rPr>
                <w:rFonts w:ascii="Times New Roman" w:hAnsi="Times New Roman" w:eastAsia="宋体" w:cs="Times New Roman"/>
                <w:sz w:val="18"/>
                <w:szCs w:val="18"/>
              </w:rPr>
            </w:pPr>
            <w:r>
              <w:rPr>
                <w:rFonts w:hint="eastAsia" w:ascii="Times New Roman" w:hAnsi="Times New Roman" w:eastAsia="宋体" w:cs="Times New Roman"/>
                <w:sz w:val="18"/>
                <w:szCs w:val="18"/>
              </w:rPr>
              <w:t>2.28±0.17</w:t>
            </w:r>
            <w:r>
              <w:rPr>
                <w:rFonts w:hint="eastAsia" w:ascii="Times New Roman" w:hAnsi="Times New Roman" w:eastAsia="宋体" w:cs="Times New Roman"/>
                <w:sz w:val="18"/>
                <w:szCs w:val="18"/>
                <w:vertAlign w:val="superscript"/>
              </w:rPr>
              <w:t>a</w:t>
            </w:r>
          </w:p>
        </w:tc>
        <w:tc>
          <w:tcPr>
            <w:tcW w:w="1771" w:type="dxa"/>
            <w:tcBorders>
              <w:top w:val="nil"/>
              <w:left w:val="nil"/>
              <w:bottom w:val="single" w:color="auto" w:sz="4" w:space="0"/>
              <w:right w:val="nil"/>
            </w:tcBorders>
          </w:tcPr>
          <w:p>
            <w:pPr>
              <w:spacing w:line="360" w:lineRule="auto"/>
              <w:rPr>
                <w:rFonts w:ascii="Times New Roman" w:hAnsi="Times New Roman" w:eastAsia="宋体" w:cs="Times New Roman"/>
                <w:sz w:val="18"/>
                <w:szCs w:val="18"/>
              </w:rPr>
            </w:pPr>
            <w:r>
              <w:rPr>
                <w:rFonts w:hint="eastAsia" w:ascii="Times New Roman" w:hAnsi="Times New Roman" w:eastAsia="宋体" w:cs="Times New Roman"/>
                <w:sz w:val="18"/>
                <w:szCs w:val="18"/>
              </w:rPr>
              <w:t>47.73±3.06</w:t>
            </w:r>
            <w:r>
              <w:rPr>
                <w:rFonts w:hint="eastAsia" w:ascii="Times New Roman" w:hAnsi="Times New Roman" w:eastAsia="宋体" w:cs="Times New Roman"/>
                <w:sz w:val="18"/>
                <w:szCs w:val="18"/>
                <w:vertAlign w:val="superscript"/>
              </w:rPr>
              <w:t>a</w:t>
            </w:r>
          </w:p>
        </w:tc>
        <w:tc>
          <w:tcPr>
            <w:tcW w:w="1880" w:type="dxa"/>
            <w:tcBorders>
              <w:top w:val="nil"/>
              <w:left w:val="nil"/>
              <w:bottom w:val="single" w:color="auto" w:sz="4" w:space="0"/>
              <w:right w:val="nil"/>
            </w:tcBorders>
          </w:tcPr>
          <w:p>
            <w:pPr>
              <w:spacing w:line="360" w:lineRule="auto"/>
              <w:rPr>
                <w:rFonts w:ascii="Times New Roman" w:hAnsi="Times New Roman" w:eastAsia="宋体" w:cs="Times New Roman"/>
                <w:sz w:val="18"/>
                <w:szCs w:val="18"/>
              </w:rPr>
            </w:pPr>
            <w:r>
              <w:rPr>
                <w:rFonts w:hint="eastAsia" w:ascii="Times New Roman" w:hAnsi="Times New Roman" w:eastAsia="宋体" w:cs="Times New Roman"/>
                <w:sz w:val="18"/>
                <w:szCs w:val="18"/>
              </w:rPr>
              <w:t>4.17±0.33</w:t>
            </w:r>
            <w:r>
              <w:rPr>
                <w:rFonts w:hint="eastAsia" w:ascii="Times New Roman" w:hAnsi="Times New Roman" w:eastAsia="宋体" w:cs="Times New Roman"/>
                <w:sz w:val="18"/>
                <w:szCs w:val="18"/>
                <w:vertAlign w:val="superscript"/>
              </w:rPr>
              <w:t>a</w:t>
            </w:r>
          </w:p>
        </w:tc>
      </w:tr>
    </w:tbl>
    <w:p>
      <w:pPr>
        <w:spacing w:before="312" w:beforeLines="100" w:after="312" w:afterLines="100" w:line="360" w:lineRule="auto"/>
        <w:ind w:firstLine="480" w:firstLineChars="200"/>
        <w:rPr>
          <w:rFonts w:ascii="Times New Roman" w:hAnsi="Times New Roman" w:eastAsia="宋体" w:cs="Times New Roman"/>
          <w:sz w:val="24"/>
          <w:szCs w:val="24"/>
        </w:rPr>
      </w:pPr>
    </w:p>
    <w:p>
      <w:pPr>
        <w:spacing w:before="156" w:beforeLines="50" w:after="156" w:afterLines="50"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蒸法杀青时间对活性成分的影响，由表3可知，蒸杀青处理90s和120s的4种活性成分含量之间的差异无统计学意义(P&gt;0.05)；杀青时间越短越有利于栀子酸的保留，对于绿原酸、栀子苷和西红花苷Ⅰ来说，则需要较长的杀青时间。总体来说，蒸法杀青时间以120s最佳，而产地由于量大，蒸汽杀青时间要稍长，以4-6分钟为宜。</w:t>
      </w:r>
    </w:p>
    <w:p>
      <w:pPr>
        <w:spacing w:line="360" w:lineRule="auto"/>
        <w:ind w:firstLine="420" w:firstLineChars="200"/>
        <w:jc w:val="center"/>
        <w:rPr>
          <w:rFonts w:ascii="Times New Roman" w:hAnsi="Times New Roman" w:eastAsia="黑体" w:cs="Times New Roman"/>
        </w:rPr>
      </w:pPr>
      <w:r>
        <w:rPr>
          <w:rFonts w:ascii="Times New Roman" w:hAnsi="Times New Roman" w:eastAsia="黑体" w:cs="Times New Roman"/>
        </w:rPr>
        <w:t>表</w:t>
      </w:r>
      <w:r>
        <w:rPr>
          <w:rFonts w:hint="eastAsia" w:ascii="Times New Roman" w:hAnsi="Times New Roman" w:eastAsia="黑体" w:cs="Times New Roman"/>
        </w:rPr>
        <w:t>4</w:t>
      </w:r>
      <w:r>
        <w:rPr>
          <w:rFonts w:ascii="Times New Roman" w:hAnsi="Times New Roman" w:eastAsia="黑体" w:cs="Times New Roman"/>
        </w:rPr>
        <w:t xml:space="preserve"> </w:t>
      </w:r>
      <w:r>
        <w:rPr>
          <w:rFonts w:hint="eastAsia" w:ascii="Times New Roman" w:hAnsi="Times New Roman" w:eastAsia="黑体" w:cs="Times New Roman"/>
        </w:rPr>
        <w:t>煮法杀青时间对栀子中活性含量成分的影响（%）</w:t>
      </w:r>
    </w:p>
    <w:tbl>
      <w:tblPr>
        <w:tblStyle w:val="6"/>
        <w:tblW w:w="89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1"/>
        <w:gridCol w:w="1771"/>
        <w:gridCol w:w="1771"/>
        <w:gridCol w:w="1771"/>
        <w:gridCol w:w="1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tcBorders>
              <w:left w:val="nil"/>
              <w:right w:val="nil"/>
            </w:tcBorders>
            <w:vAlign w:val="center"/>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时间</w:t>
            </w:r>
          </w:p>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(s)</w:t>
            </w:r>
          </w:p>
        </w:tc>
        <w:tc>
          <w:tcPr>
            <w:tcW w:w="1771" w:type="dxa"/>
            <w:tcBorders>
              <w:left w:val="nil"/>
              <w:right w:val="nil"/>
            </w:tcBorders>
          </w:tcPr>
          <w:p>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栀子酸含量</w:t>
            </w:r>
          </w:p>
          <w:p>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（mg/g）</w:t>
            </w:r>
          </w:p>
        </w:tc>
        <w:tc>
          <w:tcPr>
            <w:tcW w:w="1771" w:type="dxa"/>
            <w:tcBorders>
              <w:left w:val="nil"/>
              <w:right w:val="nil"/>
            </w:tcBorders>
          </w:tcPr>
          <w:p>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绿原酸含量</w:t>
            </w:r>
          </w:p>
          <w:p>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（mg/g）</w:t>
            </w:r>
          </w:p>
        </w:tc>
        <w:tc>
          <w:tcPr>
            <w:tcW w:w="1771" w:type="dxa"/>
            <w:tcBorders>
              <w:left w:val="nil"/>
              <w:right w:val="nil"/>
            </w:tcBorders>
          </w:tcPr>
          <w:p>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栀子苷含量</w:t>
            </w:r>
          </w:p>
          <w:p>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（mg/g）</w:t>
            </w:r>
          </w:p>
        </w:tc>
        <w:tc>
          <w:tcPr>
            <w:tcW w:w="1880" w:type="dxa"/>
            <w:tcBorders>
              <w:left w:val="nil"/>
              <w:right w:val="nil"/>
            </w:tcBorders>
          </w:tcPr>
          <w:p>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西红花苷Ⅰ含量</w:t>
            </w:r>
          </w:p>
          <w:p>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（mg/g）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tcBorders>
              <w:top w:val="nil"/>
              <w:left w:val="nil"/>
              <w:bottom w:val="nil"/>
              <w:right w:val="nil"/>
            </w:tcBorders>
            <w:vAlign w:val="center"/>
          </w:tcPr>
          <w:p>
            <w:pPr>
              <w:autoSpaceDE w:val="0"/>
              <w:autoSpaceDN w:val="0"/>
              <w:spacing w:before="5" w:line="360" w:lineRule="auto"/>
              <w:ind w:right="17"/>
              <w:jc w:val="center"/>
              <w:rPr>
                <w:rFonts w:ascii="Times New Roman" w:hAnsi="Times New Roman" w:eastAsia="宋体" w:cs="Times New Roman"/>
                <w:sz w:val="24"/>
                <w:szCs w:val="24"/>
              </w:rPr>
            </w:pPr>
            <w:r>
              <w:rPr>
                <w:rFonts w:hint="eastAsia" w:ascii="Times New Roman" w:hAnsi="Times New Roman" w:eastAsia="宋体" w:cs="Times New Roman"/>
                <w:kern w:val="0"/>
                <w:sz w:val="18"/>
                <w:szCs w:val="18"/>
              </w:rPr>
              <w:t>10</w:t>
            </w:r>
          </w:p>
        </w:tc>
        <w:tc>
          <w:tcPr>
            <w:tcW w:w="1771" w:type="dxa"/>
            <w:tcBorders>
              <w:top w:val="nil"/>
              <w:left w:val="nil"/>
              <w:bottom w:val="nil"/>
              <w:right w:val="nil"/>
            </w:tcBorders>
          </w:tcPr>
          <w:p>
            <w:pPr>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0.35±0.03</w:t>
            </w:r>
            <w:r>
              <w:rPr>
                <w:rFonts w:ascii="Times New Roman" w:hAnsi="Times New Roman" w:eastAsia="宋体" w:cs="Times New Roman"/>
                <w:kern w:val="0"/>
                <w:sz w:val="18"/>
                <w:szCs w:val="18"/>
                <w:vertAlign w:val="superscript"/>
              </w:rPr>
              <w:t>a</w:t>
            </w:r>
          </w:p>
        </w:tc>
        <w:tc>
          <w:tcPr>
            <w:tcW w:w="1771" w:type="dxa"/>
            <w:tcBorders>
              <w:top w:val="nil"/>
              <w:left w:val="nil"/>
              <w:bottom w:val="nil"/>
              <w:right w:val="nil"/>
            </w:tcBorders>
          </w:tcPr>
          <w:p>
            <w:pPr>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1.38±0.17</w:t>
            </w:r>
            <w:r>
              <w:rPr>
                <w:rFonts w:ascii="Times New Roman" w:hAnsi="Times New Roman" w:eastAsia="宋体" w:cs="Times New Roman"/>
                <w:kern w:val="0"/>
                <w:sz w:val="18"/>
                <w:szCs w:val="18"/>
                <w:vertAlign w:val="superscript"/>
              </w:rPr>
              <w:t>d</w:t>
            </w:r>
          </w:p>
        </w:tc>
        <w:tc>
          <w:tcPr>
            <w:tcW w:w="1771" w:type="dxa"/>
            <w:tcBorders>
              <w:top w:val="nil"/>
              <w:left w:val="nil"/>
              <w:bottom w:val="nil"/>
              <w:right w:val="nil"/>
            </w:tcBorders>
          </w:tcPr>
          <w:p>
            <w:pPr>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49.05±2.98</w:t>
            </w:r>
            <w:r>
              <w:rPr>
                <w:rFonts w:ascii="Times New Roman" w:hAnsi="Times New Roman" w:eastAsia="宋体" w:cs="Times New Roman"/>
                <w:kern w:val="0"/>
                <w:sz w:val="18"/>
                <w:szCs w:val="18"/>
                <w:vertAlign w:val="superscript"/>
              </w:rPr>
              <w:t>a</w:t>
            </w:r>
          </w:p>
        </w:tc>
        <w:tc>
          <w:tcPr>
            <w:tcW w:w="1880" w:type="dxa"/>
            <w:tcBorders>
              <w:top w:val="nil"/>
              <w:left w:val="nil"/>
              <w:bottom w:val="nil"/>
              <w:right w:val="nil"/>
            </w:tcBorders>
          </w:tcPr>
          <w:p>
            <w:pPr>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3.89±0.33</w:t>
            </w:r>
            <w:r>
              <w:rPr>
                <w:rFonts w:ascii="Times New Roman" w:hAnsi="Times New Roman" w:eastAsia="宋体" w:cs="Times New Roman"/>
                <w:kern w:val="0"/>
                <w:sz w:val="18"/>
                <w:szCs w:val="18"/>
                <w:vertAlign w:val="superscript"/>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tcBorders>
              <w:top w:val="nil"/>
              <w:left w:val="nil"/>
              <w:bottom w:val="nil"/>
              <w:right w:val="nil"/>
            </w:tcBorders>
            <w:vAlign w:val="center"/>
          </w:tcPr>
          <w:p>
            <w:pPr>
              <w:autoSpaceDE w:val="0"/>
              <w:autoSpaceDN w:val="0"/>
              <w:spacing w:before="3" w:line="360" w:lineRule="auto"/>
              <w:ind w:left="143" w:right="95"/>
              <w:jc w:val="center"/>
              <w:rPr>
                <w:rFonts w:ascii="Times New Roman" w:hAnsi="Times New Roman" w:eastAsia="宋体" w:cs="Times New Roman"/>
                <w:sz w:val="24"/>
                <w:szCs w:val="24"/>
              </w:rPr>
            </w:pPr>
            <w:r>
              <w:rPr>
                <w:rFonts w:hint="eastAsia" w:ascii="Times New Roman" w:hAnsi="Times New Roman" w:eastAsia="宋体" w:cs="Times New Roman"/>
                <w:kern w:val="0"/>
                <w:sz w:val="18"/>
                <w:szCs w:val="18"/>
              </w:rPr>
              <w:t>20</w:t>
            </w:r>
          </w:p>
        </w:tc>
        <w:tc>
          <w:tcPr>
            <w:tcW w:w="1771" w:type="dxa"/>
            <w:tcBorders>
              <w:top w:val="nil"/>
              <w:left w:val="nil"/>
              <w:bottom w:val="nil"/>
              <w:right w:val="nil"/>
            </w:tcBorders>
          </w:tcPr>
          <w:p>
            <w:pPr>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0.22±0.00</w:t>
            </w:r>
            <w:r>
              <w:rPr>
                <w:rFonts w:ascii="Times New Roman" w:hAnsi="Times New Roman" w:eastAsia="宋体" w:cs="Times New Roman"/>
                <w:kern w:val="0"/>
                <w:sz w:val="18"/>
                <w:szCs w:val="18"/>
                <w:vertAlign w:val="superscript"/>
              </w:rPr>
              <w:t>b</w:t>
            </w:r>
          </w:p>
        </w:tc>
        <w:tc>
          <w:tcPr>
            <w:tcW w:w="1771" w:type="dxa"/>
            <w:tcBorders>
              <w:top w:val="nil"/>
              <w:left w:val="nil"/>
              <w:bottom w:val="nil"/>
              <w:right w:val="nil"/>
            </w:tcBorders>
          </w:tcPr>
          <w:p>
            <w:pPr>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2.02±0.07</w:t>
            </w:r>
            <w:r>
              <w:rPr>
                <w:rFonts w:ascii="Times New Roman" w:hAnsi="Times New Roman" w:eastAsia="宋体" w:cs="Times New Roman"/>
                <w:kern w:val="0"/>
                <w:sz w:val="18"/>
                <w:szCs w:val="18"/>
                <w:vertAlign w:val="superscript"/>
              </w:rPr>
              <w:t>c</w:t>
            </w:r>
          </w:p>
        </w:tc>
        <w:tc>
          <w:tcPr>
            <w:tcW w:w="1771" w:type="dxa"/>
            <w:tcBorders>
              <w:top w:val="nil"/>
              <w:left w:val="nil"/>
              <w:bottom w:val="nil"/>
              <w:right w:val="nil"/>
            </w:tcBorders>
          </w:tcPr>
          <w:p>
            <w:pPr>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48.76±1.24</w:t>
            </w:r>
            <w:r>
              <w:rPr>
                <w:rFonts w:ascii="Times New Roman" w:hAnsi="Times New Roman" w:eastAsia="宋体" w:cs="Times New Roman"/>
                <w:kern w:val="0"/>
                <w:sz w:val="18"/>
                <w:szCs w:val="18"/>
                <w:vertAlign w:val="superscript"/>
              </w:rPr>
              <w:t>a</w:t>
            </w:r>
          </w:p>
        </w:tc>
        <w:tc>
          <w:tcPr>
            <w:tcW w:w="1880" w:type="dxa"/>
            <w:tcBorders>
              <w:top w:val="nil"/>
              <w:left w:val="nil"/>
              <w:bottom w:val="nil"/>
              <w:right w:val="nil"/>
            </w:tcBorders>
          </w:tcPr>
          <w:p>
            <w:pPr>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4.36±0.10</w:t>
            </w:r>
            <w:r>
              <w:rPr>
                <w:rFonts w:ascii="Times New Roman" w:hAnsi="Times New Roman" w:eastAsia="宋体" w:cs="Times New Roman"/>
                <w:kern w:val="0"/>
                <w:sz w:val="18"/>
                <w:szCs w:val="18"/>
                <w:vertAlign w:val="superscript"/>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71" w:type="dxa"/>
            <w:tcBorders>
              <w:top w:val="nil"/>
              <w:left w:val="nil"/>
              <w:bottom w:val="nil"/>
              <w:right w:val="nil"/>
            </w:tcBorders>
            <w:vAlign w:val="center"/>
          </w:tcPr>
          <w:p>
            <w:pPr>
              <w:autoSpaceDE w:val="0"/>
              <w:autoSpaceDN w:val="0"/>
              <w:spacing w:before="4" w:line="360" w:lineRule="auto"/>
              <w:ind w:left="143" w:right="95"/>
              <w:jc w:val="center"/>
              <w:rPr>
                <w:rFonts w:ascii="Times New Roman" w:hAnsi="Times New Roman" w:eastAsia="宋体" w:cs="Times New Roman"/>
                <w:sz w:val="24"/>
                <w:szCs w:val="24"/>
              </w:rPr>
            </w:pPr>
            <w:r>
              <w:rPr>
                <w:rFonts w:hint="eastAsia" w:ascii="Times New Roman" w:hAnsi="Times New Roman" w:eastAsia="宋体" w:cs="Times New Roman"/>
                <w:kern w:val="0"/>
                <w:sz w:val="18"/>
                <w:szCs w:val="18"/>
              </w:rPr>
              <w:t>30</w:t>
            </w:r>
          </w:p>
        </w:tc>
        <w:tc>
          <w:tcPr>
            <w:tcW w:w="1771" w:type="dxa"/>
            <w:tcBorders>
              <w:top w:val="nil"/>
              <w:left w:val="nil"/>
              <w:bottom w:val="nil"/>
              <w:right w:val="nil"/>
            </w:tcBorders>
          </w:tcPr>
          <w:p>
            <w:pPr>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0.25±0.01</w:t>
            </w:r>
            <w:r>
              <w:rPr>
                <w:rFonts w:ascii="Times New Roman" w:hAnsi="Times New Roman" w:eastAsia="宋体" w:cs="Times New Roman"/>
                <w:kern w:val="0"/>
                <w:sz w:val="18"/>
                <w:szCs w:val="18"/>
                <w:vertAlign w:val="superscript"/>
              </w:rPr>
              <w:t>b</w:t>
            </w:r>
          </w:p>
        </w:tc>
        <w:tc>
          <w:tcPr>
            <w:tcW w:w="1771" w:type="dxa"/>
            <w:tcBorders>
              <w:top w:val="nil"/>
              <w:left w:val="nil"/>
              <w:bottom w:val="nil"/>
              <w:right w:val="nil"/>
            </w:tcBorders>
          </w:tcPr>
          <w:p>
            <w:pPr>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3.39±0.03</w:t>
            </w:r>
            <w:r>
              <w:rPr>
                <w:rFonts w:ascii="Times New Roman" w:hAnsi="Times New Roman" w:eastAsia="宋体" w:cs="Times New Roman"/>
                <w:kern w:val="0"/>
                <w:sz w:val="18"/>
                <w:szCs w:val="18"/>
                <w:vertAlign w:val="superscript"/>
              </w:rPr>
              <w:t>ab</w:t>
            </w:r>
          </w:p>
        </w:tc>
        <w:tc>
          <w:tcPr>
            <w:tcW w:w="1771" w:type="dxa"/>
            <w:tcBorders>
              <w:top w:val="nil"/>
              <w:left w:val="nil"/>
              <w:bottom w:val="nil"/>
              <w:right w:val="nil"/>
            </w:tcBorders>
          </w:tcPr>
          <w:p>
            <w:pPr>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48.15±0.52</w:t>
            </w:r>
            <w:r>
              <w:rPr>
                <w:rFonts w:ascii="Times New Roman" w:hAnsi="Times New Roman" w:eastAsia="宋体" w:cs="Times New Roman"/>
                <w:kern w:val="0"/>
                <w:sz w:val="18"/>
                <w:szCs w:val="18"/>
                <w:vertAlign w:val="superscript"/>
              </w:rPr>
              <w:t>ab</w:t>
            </w:r>
          </w:p>
        </w:tc>
        <w:tc>
          <w:tcPr>
            <w:tcW w:w="1880" w:type="dxa"/>
            <w:tcBorders>
              <w:top w:val="nil"/>
              <w:left w:val="nil"/>
              <w:bottom w:val="nil"/>
              <w:right w:val="nil"/>
            </w:tcBorders>
          </w:tcPr>
          <w:p>
            <w:pPr>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4.44±0.09</w:t>
            </w:r>
            <w:r>
              <w:rPr>
                <w:rFonts w:ascii="Times New Roman" w:hAnsi="Times New Roman" w:eastAsia="宋体" w:cs="Times New Roman"/>
                <w:kern w:val="0"/>
                <w:sz w:val="18"/>
                <w:szCs w:val="18"/>
                <w:vertAlign w:val="superscript"/>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tcBorders>
              <w:top w:val="nil"/>
              <w:left w:val="nil"/>
              <w:bottom w:val="nil"/>
              <w:right w:val="nil"/>
            </w:tcBorders>
            <w:vAlign w:val="center"/>
          </w:tcPr>
          <w:p>
            <w:pPr>
              <w:autoSpaceDE w:val="0"/>
              <w:autoSpaceDN w:val="0"/>
              <w:spacing w:before="3" w:line="360" w:lineRule="auto"/>
              <w:ind w:left="143" w:right="95"/>
              <w:jc w:val="center"/>
              <w:rPr>
                <w:rFonts w:ascii="Times New Roman" w:hAnsi="Times New Roman" w:eastAsia="宋体" w:cs="Times New Roman"/>
                <w:sz w:val="24"/>
                <w:szCs w:val="24"/>
              </w:rPr>
            </w:pPr>
            <w:r>
              <w:rPr>
                <w:rFonts w:hint="eastAsia" w:ascii="Times New Roman" w:hAnsi="Times New Roman" w:eastAsia="宋体" w:cs="Times New Roman"/>
                <w:kern w:val="0"/>
                <w:sz w:val="18"/>
                <w:szCs w:val="18"/>
              </w:rPr>
              <w:t>40</w:t>
            </w:r>
          </w:p>
        </w:tc>
        <w:tc>
          <w:tcPr>
            <w:tcW w:w="1771" w:type="dxa"/>
            <w:tcBorders>
              <w:top w:val="nil"/>
              <w:left w:val="nil"/>
              <w:bottom w:val="nil"/>
              <w:right w:val="nil"/>
            </w:tcBorders>
          </w:tcPr>
          <w:p>
            <w:pPr>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0.22±0.01</w:t>
            </w:r>
            <w:r>
              <w:rPr>
                <w:rFonts w:ascii="Times New Roman" w:hAnsi="Times New Roman" w:eastAsia="宋体" w:cs="Times New Roman"/>
                <w:kern w:val="0"/>
                <w:sz w:val="18"/>
                <w:szCs w:val="18"/>
                <w:vertAlign w:val="superscript"/>
              </w:rPr>
              <w:t>b</w:t>
            </w:r>
          </w:p>
        </w:tc>
        <w:tc>
          <w:tcPr>
            <w:tcW w:w="1771" w:type="dxa"/>
            <w:tcBorders>
              <w:top w:val="nil"/>
              <w:left w:val="nil"/>
              <w:bottom w:val="nil"/>
              <w:right w:val="nil"/>
            </w:tcBorders>
          </w:tcPr>
          <w:p>
            <w:pPr>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2.29±0.04</w:t>
            </w:r>
            <w:r>
              <w:rPr>
                <w:rFonts w:ascii="Times New Roman" w:hAnsi="Times New Roman" w:eastAsia="宋体" w:cs="Times New Roman"/>
                <w:kern w:val="0"/>
                <w:sz w:val="18"/>
                <w:szCs w:val="18"/>
                <w:vertAlign w:val="superscript"/>
              </w:rPr>
              <w:t>b</w:t>
            </w:r>
          </w:p>
        </w:tc>
        <w:tc>
          <w:tcPr>
            <w:tcW w:w="1771" w:type="dxa"/>
            <w:tcBorders>
              <w:top w:val="nil"/>
              <w:left w:val="nil"/>
              <w:bottom w:val="nil"/>
              <w:right w:val="nil"/>
            </w:tcBorders>
          </w:tcPr>
          <w:p>
            <w:pPr>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49.32±1.48</w:t>
            </w:r>
            <w:r>
              <w:rPr>
                <w:rFonts w:ascii="Times New Roman" w:hAnsi="Times New Roman" w:eastAsia="宋体" w:cs="Times New Roman"/>
                <w:kern w:val="0"/>
                <w:sz w:val="18"/>
                <w:szCs w:val="18"/>
                <w:vertAlign w:val="superscript"/>
              </w:rPr>
              <w:t>a</w:t>
            </w:r>
          </w:p>
        </w:tc>
        <w:tc>
          <w:tcPr>
            <w:tcW w:w="1880" w:type="dxa"/>
            <w:tcBorders>
              <w:top w:val="nil"/>
              <w:left w:val="nil"/>
              <w:bottom w:val="nil"/>
              <w:right w:val="nil"/>
            </w:tcBorders>
          </w:tcPr>
          <w:p>
            <w:pPr>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4.31±0.10</w:t>
            </w:r>
            <w:r>
              <w:rPr>
                <w:rFonts w:ascii="Times New Roman" w:hAnsi="Times New Roman" w:eastAsia="宋体" w:cs="Times New Roman"/>
                <w:kern w:val="0"/>
                <w:sz w:val="18"/>
                <w:szCs w:val="18"/>
                <w:vertAlign w:val="superscript"/>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tcBorders>
              <w:top w:val="nil"/>
              <w:left w:val="nil"/>
              <w:bottom w:val="single" w:color="auto" w:sz="4" w:space="0"/>
              <w:right w:val="nil"/>
            </w:tcBorders>
            <w:vAlign w:val="center"/>
          </w:tcPr>
          <w:p>
            <w:pPr>
              <w:autoSpaceDE w:val="0"/>
              <w:autoSpaceDN w:val="0"/>
              <w:spacing w:before="3" w:line="360" w:lineRule="auto"/>
              <w:ind w:left="143" w:right="95"/>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50</w:t>
            </w:r>
          </w:p>
        </w:tc>
        <w:tc>
          <w:tcPr>
            <w:tcW w:w="1771" w:type="dxa"/>
            <w:tcBorders>
              <w:top w:val="nil"/>
              <w:left w:val="nil"/>
              <w:bottom w:val="single" w:color="auto" w:sz="4" w:space="0"/>
              <w:right w:val="nil"/>
            </w:tcBorders>
          </w:tcPr>
          <w:p>
            <w:pPr>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0.21±0.00</w:t>
            </w:r>
            <w:r>
              <w:rPr>
                <w:rFonts w:ascii="Times New Roman" w:hAnsi="Times New Roman" w:eastAsia="宋体" w:cs="Times New Roman"/>
                <w:kern w:val="0"/>
                <w:sz w:val="18"/>
                <w:szCs w:val="18"/>
                <w:vertAlign w:val="superscript"/>
              </w:rPr>
              <w:t>b</w:t>
            </w:r>
          </w:p>
        </w:tc>
        <w:tc>
          <w:tcPr>
            <w:tcW w:w="1771" w:type="dxa"/>
            <w:tcBorders>
              <w:top w:val="nil"/>
              <w:left w:val="nil"/>
              <w:bottom w:val="single" w:color="auto" w:sz="4" w:space="0"/>
              <w:right w:val="nil"/>
            </w:tcBorders>
          </w:tcPr>
          <w:p>
            <w:pPr>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2.48±0.09</w:t>
            </w:r>
            <w:r>
              <w:rPr>
                <w:rFonts w:ascii="Times New Roman" w:hAnsi="Times New Roman" w:eastAsia="宋体" w:cs="Times New Roman"/>
                <w:kern w:val="0"/>
                <w:sz w:val="18"/>
                <w:szCs w:val="18"/>
                <w:vertAlign w:val="superscript"/>
              </w:rPr>
              <w:t>a</w:t>
            </w:r>
          </w:p>
        </w:tc>
        <w:tc>
          <w:tcPr>
            <w:tcW w:w="1771" w:type="dxa"/>
            <w:tcBorders>
              <w:top w:val="nil"/>
              <w:left w:val="nil"/>
              <w:bottom w:val="single" w:color="auto" w:sz="4" w:space="0"/>
              <w:right w:val="nil"/>
            </w:tcBorders>
          </w:tcPr>
          <w:p>
            <w:pPr>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45.21±2.28</w:t>
            </w:r>
            <w:r>
              <w:rPr>
                <w:rFonts w:ascii="Times New Roman" w:hAnsi="Times New Roman" w:eastAsia="宋体" w:cs="Times New Roman"/>
                <w:kern w:val="0"/>
                <w:sz w:val="18"/>
                <w:szCs w:val="18"/>
                <w:vertAlign w:val="superscript"/>
              </w:rPr>
              <w:t>b</w:t>
            </w:r>
          </w:p>
        </w:tc>
        <w:tc>
          <w:tcPr>
            <w:tcW w:w="1880" w:type="dxa"/>
            <w:tcBorders>
              <w:top w:val="nil"/>
              <w:left w:val="nil"/>
              <w:bottom w:val="single" w:color="auto" w:sz="4" w:space="0"/>
              <w:right w:val="nil"/>
            </w:tcBorders>
          </w:tcPr>
          <w:p>
            <w:pPr>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3.71±0.15</w:t>
            </w:r>
            <w:r>
              <w:rPr>
                <w:rFonts w:ascii="Times New Roman" w:hAnsi="Times New Roman" w:eastAsia="宋体" w:cs="Times New Roman"/>
                <w:kern w:val="0"/>
                <w:sz w:val="18"/>
                <w:szCs w:val="18"/>
                <w:vertAlign w:val="superscript"/>
              </w:rPr>
              <w:t>b</w:t>
            </w:r>
          </w:p>
        </w:tc>
      </w:tr>
    </w:tbl>
    <w:p>
      <w:pPr>
        <w:spacing w:line="360" w:lineRule="auto"/>
        <w:ind w:firstLine="480" w:firstLineChars="200"/>
        <w:rPr>
          <w:rFonts w:ascii="Times New Roman" w:hAnsi="Times New Roman" w:eastAsia="宋体" w:cs="Times New Roman"/>
          <w:sz w:val="24"/>
          <w:szCs w:val="24"/>
        </w:rPr>
      </w:pPr>
    </w:p>
    <w:p>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煮法杀青对4种活性成分的影响由4表可知，在杀青时间30~40s内4种活性成分含量相近，除栀子酸和绿原酸含量有所降低外，栀子苷和西红花苷Ⅰ含量较高。综合考虑，煮法杀青时间以30s最佳。</w:t>
      </w:r>
    </w:p>
    <w:p>
      <w:pPr>
        <w:spacing w:line="360" w:lineRule="auto"/>
        <w:ind w:firstLine="420" w:firstLineChars="200"/>
        <w:jc w:val="center"/>
        <w:rPr>
          <w:rFonts w:ascii="Times New Roman" w:hAnsi="Times New Roman" w:eastAsia="黑体" w:cs="Times New Roman"/>
        </w:rPr>
      </w:pPr>
      <w:r>
        <w:rPr>
          <w:rFonts w:ascii="Times New Roman" w:hAnsi="Times New Roman" w:eastAsia="黑体" w:cs="Times New Roman"/>
        </w:rPr>
        <w:t>表</w:t>
      </w:r>
      <w:r>
        <w:rPr>
          <w:rFonts w:hint="eastAsia" w:ascii="Times New Roman" w:hAnsi="Times New Roman" w:eastAsia="黑体" w:cs="Times New Roman"/>
        </w:rPr>
        <w:t>5</w:t>
      </w:r>
      <w:r>
        <w:rPr>
          <w:rFonts w:ascii="Times New Roman" w:hAnsi="Times New Roman" w:eastAsia="黑体" w:cs="Times New Roman"/>
        </w:rPr>
        <w:t xml:space="preserve"> </w:t>
      </w:r>
      <w:r>
        <w:rPr>
          <w:rFonts w:hint="eastAsia" w:ascii="Times New Roman" w:hAnsi="Times New Roman" w:eastAsia="黑体" w:cs="Times New Roman"/>
        </w:rPr>
        <w:t>杀青方式对栀子中活性成分含量的影响（%）</w:t>
      </w:r>
    </w:p>
    <w:tbl>
      <w:tblPr>
        <w:tblStyle w:val="6"/>
        <w:tblW w:w="89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1"/>
        <w:gridCol w:w="1771"/>
        <w:gridCol w:w="1771"/>
        <w:gridCol w:w="1771"/>
        <w:gridCol w:w="1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tcBorders>
              <w:left w:val="nil"/>
              <w:right w:val="nil"/>
            </w:tcBorders>
            <w:vAlign w:val="center"/>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杀青方法(s)</w:t>
            </w:r>
          </w:p>
        </w:tc>
        <w:tc>
          <w:tcPr>
            <w:tcW w:w="177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栀子酸含量</w:t>
            </w:r>
          </w:p>
          <w:p>
            <w:pPr>
              <w:autoSpaceDE w:val="0"/>
              <w:autoSpaceDN w:val="0"/>
              <w:spacing w:before="35" w:line="360" w:lineRule="auto"/>
              <w:ind w:left="143" w:right="156"/>
              <w:jc w:val="center"/>
              <w:rPr>
                <w:rFonts w:ascii="Times New Roman" w:hAnsi="Times New Roman" w:eastAsia="宋体" w:cs="Times New Roman"/>
                <w:sz w:val="24"/>
                <w:szCs w:val="24"/>
              </w:rPr>
            </w:pPr>
            <w:r>
              <w:rPr>
                <w:rFonts w:ascii="Times New Roman" w:hAnsi="Times New Roman" w:eastAsia="宋体" w:cs="Times New Roman"/>
                <w:kern w:val="0"/>
                <w:sz w:val="18"/>
                <w:szCs w:val="18"/>
              </w:rPr>
              <w:t>（mg/g）</w:t>
            </w:r>
          </w:p>
        </w:tc>
        <w:tc>
          <w:tcPr>
            <w:tcW w:w="177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绿原酸含量</w:t>
            </w:r>
          </w:p>
          <w:p>
            <w:pPr>
              <w:autoSpaceDE w:val="0"/>
              <w:autoSpaceDN w:val="0"/>
              <w:spacing w:before="35" w:line="360" w:lineRule="auto"/>
              <w:ind w:left="143" w:right="156"/>
              <w:jc w:val="center"/>
              <w:rPr>
                <w:rFonts w:ascii="Times New Roman" w:hAnsi="Times New Roman" w:eastAsia="宋体" w:cs="Times New Roman"/>
                <w:sz w:val="18"/>
                <w:szCs w:val="18"/>
              </w:rPr>
            </w:pPr>
            <w:r>
              <w:rPr>
                <w:rFonts w:ascii="Times New Roman" w:hAnsi="Times New Roman" w:eastAsia="宋体" w:cs="Times New Roman"/>
                <w:kern w:val="0"/>
                <w:sz w:val="18"/>
                <w:szCs w:val="18"/>
              </w:rPr>
              <w:t>（mg/g）</w:t>
            </w:r>
          </w:p>
        </w:tc>
        <w:tc>
          <w:tcPr>
            <w:tcW w:w="177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栀子苷含量</w:t>
            </w:r>
          </w:p>
          <w:p>
            <w:pPr>
              <w:autoSpaceDE w:val="0"/>
              <w:autoSpaceDN w:val="0"/>
              <w:spacing w:before="35" w:line="360" w:lineRule="auto"/>
              <w:ind w:left="143" w:right="156"/>
              <w:jc w:val="center"/>
              <w:rPr>
                <w:rFonts w:ascii="Times New Roman" w:hAnsi="Times New Roman" w:eastAsia="宋体" w:cs="Times New Roman"/>
                <w:sz w:val="24"/>
                <w:szCs w:val="24"/>
              </w:rPr>
            </w:pPr>
            <w:r>
              <w:rPr>
                <w:rFonts w:ascii="Times New Roman" w:hAnsi="Times New Roman" w:eastAsia="宋体" w:cs="Times New Roman"/>
                <w:kern w:val="0"/>
                <w:sz w:val="18"/>
                <w:szCs w:val="18"/>
              </w:rPr>
              <w:t>（mg/g）</w:t>
            </w:r>
          </w:p>
        </w:tc>
        <w:tc>
          <w:tcPr>
            <w:tcW w:w="1880"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西红花</w:t>
            </w:r>
            <w:r>
              <w:rPr>
                <w:rFonts w:hint="eastAsia" w:ascii="Times New Roman" w:hAnsi="Times New Roman" w:eastAsia="宋体" w:cs="Times New Roman"/>
                <w:kern w:val="0"/>
                <w:sz w:val="18"/>
                <w:szCs w:val="18"/>
              </w:rPr>
              <w:t>苷</w:t>
            </w:r>
            <w:r>
              <w:rPr>
                <w:rFonts w:ascii="Times New Roman" w:hAnsi="Times New Roman" w:eastAsia="宋体" w:cs="Times New Roman"/>
                <w:kern w:val="0"/>
                <w:sz w:val="18"/>
                <w:szCs w:val="18"/>
              </w:rPr>
              <w:t>Ⅰ含量</w:t>
            </w:r>
          </w:p>
          <w:p>
            <w:pPr>
              <w:autoSpaceDE w:val="0"/>
              <w:autoSpaceDN w:val="0"/>
              <w:spacing w:before="35" w:line="360" w:lineRule="auto"/>
              <w:ind w:left="143" w:right="156"/>
              <w:jc w:val="center"/>
              <w:rPr>
                <w:rFonts w:ascii="Times New Roman" w:hAnsi="Times New Roman" w:eastAsia="宋体" w:cs="Times New Roman"/>
                <w:sz w:val="24"/>
                <w:szCs w:val="24"/>
              </w:rPr>
            </w:pPr>
            <w:r>
              <w:rPr>
                <w:rFonts w:ascii="Times New Roman" w:hAnsi="Times New Roman" w:eastAsia="宋体" w:cs="Times New Roman"/>
                <w:kern w:val="0"/>
                <w:sz w:val="18"/>
                <w:szCs w:val="18"/>
              </w:rPr>
              <w:t>（mg/g）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tcBorders>
              <w:left w:val="nil"/>
              <w:right w:val="nil"/>
            </w:tcBorders>
            <w:vAlign w:val="center"/>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不杀青</w:t>
            </w:r>
          </w:p>
        </w:tc>
        <w:tc>
          <w:tcPr>
            <w:tcW w:w="177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0.22±0.01</w:t>
            </w:r>
            <w:r>
              <w:rPr>
                <w:rFonts w:ascii="Times New Roman" w:hAnsi="Times New Roman" w:eastAsia="宋体" w:cs="Times New Roman"/>
                <w:kern w:val="0"/>
                <w:sz w:val="18"/>
                <w:szCs w:val="18"/>
                <w:vertAlign w:val="superscript"/>
              </w:rPr>
              <w:t>a</w:t>
            </w:r>
          </w:p>
        </w:tc>
        <w:tc>
          <w:tcPr>
            <w:tcW w:w="177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0.75±0.02</w:t>
            </w:r>
            <w:r>
              <w:rPr>
                <w:rFonts w:ascii="Times New Roman" w:hAnsi="Times New Roman" w:eastAsia="宋体" w:cs="Times New Roman"/>
                <w:kern w:val="0"/>
                <w:sz w:val="18"/>
                <w:szCs w:val="18"/>
                <w:vertAlign w:val="superscript"/>
              </w:rPr>
              <w:t>b</w:t>
            </w:r>
          </w:p>
        </w:tc>
        <w:tc>
          <w:tcPr>
            <w:tcW w:w="177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48.46±1.69</w:t>
            </w:r>
            <w:r>
              <w:rPr>
                <w:rFonts w:ascii="Times New Roman" w:hAnsi="Times New Roman" w:eastAsia="宋体" w:cs="Times New Roman"/>
                <w:kern w:val="0"/>
                <w:sz w:val="18"/>
                <w:szCs w:val="18"/>
                <w:vertAlign w:val="superscript"/>
              </w:rPr>
              <w:t>a</w:t>
            </w:r>
          </w:p>
        </w:tc>
        <w:tc>
          <w:tcPr>
            <w:tcW w:w="1880"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3.83±0.11</w:t>
            </w:r>
            <w:r>
              <w:rPr>
                <w:rFonts w:ascii="Times New Roman" w:hAnsi="Times New Roman" w:eastAsia="宋体" w:cs="Times New Roman"/>
                <w:kern w:val="0"/>
                <w:sz w:val="18"/>
                <w:szCs w:val="18"/>
                <w:vertAlign w:val="superscript"/>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tcBorders>
              <w:left w:val="nil"/>
              <w:right w:val="nil"/>
            </w:tcBorders>
            <w:vAlign w:val="center"/>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煮法30s</w:t>
            </w:r>
          </w:p>
        </w:tc>
        <w:tc>
          <w:tcPr>
            <w:tcW w:w="177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0.25±0.01</w:t>
            </w:r>
            <w:r>
              <w:rPr>
                <w:rFonts w:ascii="Times New Roman" w:hAnsi="Times New Roman" w:eastAsia="宋体" w:cs="Times New Roman"/>
                <w:kern w:val="0"/>
                <w:sz w:val="18"/>
                <w:szCs w:val="18"/>
                <w:vertAlign w:val="superscript"/>
              </w:rPr>
              <w:t>a</w:t>
            </w:r>
          </w:p>
        </w:tc>
        <w:tc>
          <w:tcPr>
            <w:tcW w:w="177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2.39±0.03</w:t>
            </w:r>
            <w:r>
              <w:rPr>
                <w:rFonts w:ascii="Times New Roman" w:hAnsi="Times New Roman" w:eastAsia="宋体" w:cs="Times New Roman"/>
                <w:kern w:val="0"/>
                <w:sz w:val="18"/>
                <w:szCs w:val="18"/>
                <w:vertAlign w:val="superscript"/>
              </w:rPr>
              <w:t>a</w:t>
            </w:r>
          </w:p>
        </w:tc>
        <w:tc>
          <w:tcPr>
            <w:tcW w:w="177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48.15±0.52</w:t>
            </w:r>
            <w:r>
              <w:rPr>
                <w:rFonts w:ascii="Times New Roman" w:hAnsi="Times New Roman" w:eastAsia="宋体" w:cs="Times New Roman"/>
                <w:kern w:val="0"/>
                <w:sz w:val="18"/>
                <w:szCs w:val="18"/>
                <w:vertAlign w:val="superscript"/>
              </w:rPr>
              <w:t>a</w:t>
            </w:r>
          </w:p>
        </w:tc>
        <w:tc>
          <w:tcPr>
            <w:tcW w:w="1880"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4.44±0.09</w:t>
            </w:r>
            <w:r>
              <w:rPr>
                <w:rFonts w:ascii="Times New Roman" w:hAnsi="Times New Roman" w:eastAsia="宋体" w:cs="Times New Roman"/>
                <w:kern w:val="0"/>
                <w:sz w:val="18"/>
                <w:szCs w:val="18"/>
                <w:vertAlign w:val="superscript"/>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71" w:type="dxa"/>
            <w:tcBorders>
              <w:left w:val="nil"/>
              <w:right w:val="nil"/>
            </w:tcBorders>
            <w:vAlign w:val="center"/>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煮法120s</w:t>
            </w:r>
          </w:p>
        </w:tc>
        <w:tc>
          <w:tcPr>
            <w:tcW w:w="177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0.21±0.00</w:t>
            </w:r>
            <w:r>
              <w:rPr>
                <w:rFonts w:ascii="Times New Roman" w:hAnsi="Times New Roman" w:eastAsia="宋体" w:cs="Times New Roman"/>
                <w:kern w:val="0"/>
                <w:sz w:val="18"/>
                <w:szCs w:val="18"/>
                <w:vertAlign w:val="superscript"/>
              </w:rPr>
              <w:t>a</w:t>
            </w:r>
          </w:p>
        </w:tc>
        <w:tc>
          <w:tcPr>
            <w:tcW w:w="177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2.28±0.17</w:t>
            </w:r>
            <w:r>
              <w:rPr>
                <w:rFonts w:ascii="Times New Roman" w:hAnsi="Times New Roman" w:eastAsia="宋体" w:cs="Times New Roman"/>
                <w:kern w:val="0"/>
                <w:sz w:val="18"/>
                <w:szCs w:val="18"/>
                <w:vertAlign w:val="superscript"/>
              </w:rPr>
              <w:t>a</w:t>
            </w:r>
          </w:p>
        </w:tc>
        <w:tc>
          <w:tcPr>
            <w:tcW w:w="177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47.74±3.06</w:t>
            </w:r>
            <w:r>
              <w:rPr>
                <w:rFonts w:ascii="Times New Roman" w:hAnsi="Times New Roman" w:eastAsia="宋体" w:cs="Times New Roman"/>
                <w:kern w:val="0"/>
                <w:sz w:val="18"/>
                <w:szCs w:val="18"/>
                <w:vertAlign w:val="superscript"/>
              </w:rPr>
              <w:t>a</w:t>
            </w:r>
          </w:p>
        </w:tc>
        <w:tc>
          <w:tcPr>
            <w:tcW w:w="1880"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4.17±0.34</w:t>
            </w:r>
            <w:r>
              <w:rPr>
                <w:rFonts w:ascii="Times New Roman" w:hAnsi="Times New Roman" w:eastAsia="宋体" w:cs="Times New Roman"/>
                <w:kern w:val="0"/>
                <w:sz w:val="18"/>
                <w:szCs w:val="18"/>
                <w:vertAlign w:val="superscript"/>
              </w:rPr>
              <w:t>ab</w:t>
            </w:r>
          </w:p>
        </w:tc>
      </w:tr>
    </w:tbl>
    <w:p>
      <w:pPr>
        <w:spacing w:line="360" w:lineRule="auto"/>
        <w:ind w:firstLine="480" w:firstLineChars="200"/>
        <w:rPr>
          <w:rFonts w:ascii="Times New Roman" w:hAnsi="Times New Roman" w:eastAsia="宋体" w:cs="Times New Roman"/>
          <w:sz w:val="24"/>
          <w:szCs w:val="24"/>
        </w:rPr>
      </w:pPr>
    </w:p>
    <w:p>
      <w:pPr>
        <w:spacing w:line="360" w:lineRule="auto"/>
        <w:ind w:firstLine="480" w:firstLineChars="200"/>
        <w:rPr>
          <w:rFonts w:ascii="Times New Roman" w:hAnsi="Times New Roman" w:eastAsia="黑体" w:cs="Times New Roman"/>
        </w:rPr>
      </w:pPr>
      <w:r>
        <w:rPr>
          <w:rFonts w:hint="eastAsia" w:ascii="Times New Roman" w:hAnsi="Times New Roman" w:eastAsia="宋体" w:cs="Times New Roman"/>
          <w:sz w:val="24"/>
          <w:szCs w:val="24"/>
        </w:rPr>
        <w:t>不同杀青方法对栀子中4种活性成分含量的影响由表5可知，杀青与不杀青对栀子苷和栀子酸无显著影响 (P&gt;0.05)，但杀青样中绿原酸和西红花苷Ⅰ显著高于不杀青样（P&lt;0.05）；两种最佳杀青时间处理样品4种成分均无显著差异 (P&gt;0.05)。同时，不杀青样品干燥后放置一段时间后易长霉，因此，栀子干燥前进行杀青处理很有必要。</w:t>
      </w:r>
    </w:p>
    <w:p>
      <w:pPr>
        <w:spacing w:line="360" w:lineRule="auto"/>
        <w:ind w:firstLine="420" w:firstLineChars="200"/>
        <w:jc w:val="center"/>
        <w:rPr>
          <w:rFonts w:ascii="Times New Roman" w:hAnsi="Times New Roman" w:eastAsia="黑体" w:cs="Times New Roman"/>
        </w:rPr>
      </w:pPr>
      <w:r>
        <w:rPr>
          <w:rFonts w:ascii="Times New Roman" w:hAnsi="Times New Roman" w:eastAsia="黑体" w:cs="Times New Roman"/>
        </w:rPr>
        <w:t>表</w:t>
      </w:r>
      <w:r>
        <w:rPr>
          <w:rFonts w:hint="eastAsia" w:ascii="Times New Roman" w:hAnsi="Times New Roman" w:eastAsia="黑体" w:cs="Times New Roman"/>
        </w:rPr>
        <w:t>6</w:t>
      </w:r>
      <w:r>
        <w:rPr>
          <w:rFonts w:ascii="Times New Roman" w:hAnsi="Times New Roman" w:eastAsia="黑体" w:cs="Times New Roman"/>
        </w:rPr>
        <w:t xml:space="preserve"> 不同干燥方法对</w:t>
      </w:r>
      <w:r>
        <w:rPr>
          <w:rFonts w:hint="eastAsia" w:ascii="Times New Roman" w:hAnsi="Times New Roman" w:eastAsia="黑体" w:cs="Times New Roman"/>
        </w:rPr>
        <w:t>栀子</w:t>
      </w:r>
      <w:r>
        <w:rPr>
          <w:rFonts w:ascii="Times New Roman" w:hAnsi="Times New Roman" w:eastAsia="黑体" w:cs="Times New Roman"/>
        </w:rPr>
        <w:t>质量的影响</w:t>
      </w:r>
    </w:p>
    <w:tbl>
      <w:tblPr>
        <w:tblStyle w:val="6"/>
        <w:tblW w:w="89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1"/>
        <w:gridCol w:w="1771"/>
        <w:gridCol w:w="1771"/>
        <w:gridCol w:w="1771"/>
        <w:gridCol w:w="1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tcBorders>
              <w:left w:val="nil"/>
              <w:right w:val="nil"/>
            </w:tcBorders>
            <w:vAlign w:val="center"/>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干燥方法</w:t>
            </w:r>
          </w:p>
        </w:tc>
        <w:tc>
          <w:tcPr>
            <w:tcW w:w="177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栀子酸含量</w:t>
            </w:r>
          </w:p>
          <w:p>
            <w:pPr>
              <w:autoSpaceDE w:val="0"/>
              <w:autoSpaceDN w:val="0"/>
              <w:spacing w:before="35" w:line="360" w:lineRule="auto"/>
              <w:ind w:left="143" w:right="156"/>
              <w:jc w:val="center"/>
              <w:rPr>
                <w:rFonts w:ascii="Times New Roman" w:hAnsi="Times New Roman" w:eastAsia="宋体" w:cs="Times New Roman"/>
                <w:sz w:val="24"/>
                <w:szCs w:val="24"/>
              </w:rPr>
            </w:pPr>
            <w:r>
              <w:rPr>
                <w:rFonts w:ascii="Times New Roman" w:hAnsi="Times New Roman" w:eastAsia="宋体" w:cs="Times New Roman"/>
                <w:kern w:val="0"/>
                <w:sz w:val="18"/>
                <w:szCs w:val="18"/>
              </w:rPr>
              <w:t>（mg/g）</w:t>
            </w:r>
          </w:p>
        </w:tc>
        <w:tc>
          <w:tcPr>
            <w:tcW w:w="177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绿原酸含量</w:t>
            </w:r>
          </w:p>
          <w:p>
            <w:pPr>
              <w:autoSpaceDE w:val="0"/>
              <w:autoSpaceDN w:val="0"/>
              <w:spacing w:before="35" w:line="360" w:lineRule="auto"/>
              <w:ind w:left="143" w:right="156"/>
              <w:jc w:val="center"/>
              <w:rPr>
                <w:rFonts w:ascii="Times New Roman" w:hAnsi="Times New Roman" w:eastAsia="宋体" w:cs="Times New Roman"/>
                <w:sz w:val="18"/>
                <w:szCs w:val="18"/>
              </w:rPr>
            </w:pPr>
            <w:r>
              <w:rPr>
                <w:rFonts w:ascii="Times New Roman" w:hAnsi="Times New Roman" w:eastAsia="宋体" w:cs="Times New Roman"/>
                <w:kern w:val="0"/>
                <w:sz w:val="18"/>
                <w:szCs w:val="18"/>
              </w:rPr>
              <w:t>（mg/g）</w:t>
            </w:r>
          </w:p>
        </w:tc>
        <w:tc>
          <w:tcPr>
            <w:tcW w:w="177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栀子苷含量</w:t>
            </w:r>
          </w:p>
          <w:p>
            <w:pPr>
              <w:autoSpaceDE w:val="0"/>
              <w:autoSpaceDN w:val="0"/>
              <w:spacing w:before="35" w:line="360" w:lineRule="auto"/>
              <w:ind w:left="143" w:right="156"/>
              <w:jc w:val="center"/>
              <w:rPr>
                <w:rFonts w:ascii="Times New Roman" w:hAnsi="Times New Roman" w:eastAsia="宋体" w:cs="Times New Roman"/>
                <w:sz w:val="24"/>
                <w:szCs w:val="24"/>
              </w:rPr>
            </w:pPr>
            <w:r>
              <w:rPr>
                <w:rFonts w:ascii="Times New Roman" w:hAnsi="Times New Roman" w:eastAsia="宋体" w:cs="Times New Roman"/>
                <w:kern w:val="0"/>
                <w:sz w:val="18"/>
                <w:szCs w:val="18"/>
              </w:rPr>
              <w:t>（mg/g）</w:t>
            </w:r>
          </w:p>
        </w:tc>
        <w:tc>
          <w:tcPr>
            <w:tcW w:w="1880"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西红花</w:t>
            </w:r>
            <w:r>
              <w:rPr>
                <w:rFonts w:hint="eastAsia" w:ascii="Times New Roman" w:hAnsi="Times New Roman" w:eastAsia="宋体" w:cs="Times New Roman"/>
                <w:kern w:val="0"/>
                <w:sz w:val="18"/>
                <w:szCs w:val="18"/>
              </w:rPr>
              <w:t>苷</w:t>
            </w:r>
            <w:r>
              <w:rPr>
                <w:rFonts w:ascii="Times New Roman" w:hAnsi="Times New Roman" w:eastAsia="宋体" w:cs="Times New Roman"/>
                <w:kern w:val="0"/>
                <w:sz w:val="18"/>
                <w:szCs w:val="18"/>
              </w:rPr>
              <w:t>Ⅰ含量</w:t>
            </w:r>
          </w:p>
          <w:p>
            <w:pPr>
              <w:autoSpaceDE w:val="0"/>
              <w:autoSpaceDN w:val="0"/>
              <w:spacing w:before="35" w:line="360" w:lineRule="auto"/>
              <w:ind w:left="143" w:right="156"/>
              <w:jc w:val="center"/>
              <w:rPr>
                <w:rFonts w:ascii="Times New Roman" w:hAnsi="Times New Roman" w:eastAsia="宋体" w:cs="Times New Roman"/>
                <w:sz w:val="24"/>
                <w:szCs w:val="24"/>
              </w:rPr>
            </w:pPr>
            <w:r>
              <w:rPr>
                <w:rFonts w:ascii="Times New Roman" w:hAnsi="Times New Roman" w:eastAsia="宋体" w:cs="Times New Roman"/>
                <w:kern w:val="0"/>
                <w:sz w:val="18"/>
                <w:szCs w:val="18"/>
              </w:rPr>
              <w:t>（mg/g）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tcBorders>
              <w:left w:val="nil"/>
              <w:right w:val="nil"/>
            </w:tcBorders>
            <w:vAlign w:val="center"/>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40℃烘干</w:t>
            </w:r>
          </w:p>
        </w:tc>
        <w:tc>
          <w:tcPr>
            <w:tcW w:w="177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0.40±0.02</w:t>
            </w:r>
            <w:r>
              <w:rPr>
                <w:rFonts w:ascii="Times New Roman" w:hAnsi="Times New Roman" w:eastAsia="宋体" w:cs="Times New Roman"/>
                <w:kern w:val="0"/>
                <w:sz w:val="18"/>
                <w:szCs w:val="18"/>
                <w:vertAlign w:val="superscript"/>
              </w:rPr>
              <w:t>a</w:t>
            </w:r>
          </w:p>
        </w:tc>
        <w:tc>
          <w:tcPr>
            <w:tcW w:w="177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1.34±0.15</w:t>
            </w:r>
            <w:r>
              <w:rPr>
                <w:rFonts w:ascii="Times New Roman" w:hAnsi="Times New Roman" w:eastAsia="宋体" w:cs="Times New Roman"/>
                <w:kern w:val="0"/>
                <w:sz w:val="18"/>
                <w:szCs w:val="18"/>
                <w:vertAlign w:val="superscript"/>
              </w:rPr>
              <w:t>bc</w:t>
            </w:r>
          </w:p>
        </w:tc>
        <w:tc>
          <w:tcPr>
            <w:tcW w:w="177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44.94±1.51</w:t>
            </w:r>
            <w:r>
              <w:rPr>
                <w:rFonts w:ascii="Times New Roman" w:hAnsi="Times New Roman" w:eastAsia="宋体" w:cs="Times New Roman"/>
                <w:kern w:val="0"/>
                <w:sz w:val="18"/>
                <w:szCs w:val="18"/>
                <w:vertAlign w:val="superscript"/>
              </w:rPr>
              <w:t>b</w:t>
            </w:r>
          </w:p>
        </w:tc>
        <w:tc>
          <w:tcPr>
            <w:tcW w:w="1880"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5.96±0.23</w:t>
            </w:r>
            <w:r>
              <w:rPr>
                <w:rFonts w:ascii="Times New Roman" w:hAnsi="Times New Roman" w:eastAsia="宋体" w:cs="Times New Roman"/>
                <w:kern w:val="0"/>
                <w:sz w:val="18"/>
                <w:szCs w:val="18"/>
                <w:vertAlign w:val="superscript"/>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tcBorders>
              <w:left w:val="nil"/>
              <w:right w:val="nil"/>
            </w:tcBorders>
            <w:vAlign w:val="center"/>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50℃烘干</w:t>
            </w:r>
          </w:p>
        </w:tc>
        <w:tc>
          <w:tcPr>
            <w:tcW w:w="177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0.23±0.01</w:t>
            </w:r>
            <w:r>
              <w:rPr>
                <w:rFonts w:ascii="Times New Roman" w:hAnsi="Times New Roman" w:eastAsia="宋体" w:cs="Times New Roman"/>
                <w:kern w:val="0"/>
                <w:sz w:val="18"/>
                <w:szCs w:val="18"/>
                <w:vertAlign w:val="superscript"/>
              </w:rPr>
              <w:t>b</w:t>
            </w:r>
          </w:p>
        </w:tc>
        <w:tc>
          <w:tcPr>
            <w:tcW w:w="177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2.75±0.16</w:t>
            </w:r>
            <w:r>
              <w:rPr>
                <w:rFonts w:ascii="Times New Roman" w:hAnsi="Times New Roman" w:eastAsia="宋体" w:cs="Times New Roman"/>
                <w:kern w:val="0"/>
                <w:sz w:val="18"/>
                <w:szCs w:val="18"/>
                <w:vertAlign w:val="superscript"/>
              </w:rPr>
              <w:t>a</w:t>
            </w:r>
          </w:p>
        </w:tc>
        <w:tc>
          <w:tcPr>
            <w:tcW w:w="177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50.35±2.79</w:t>
            </w:r>
            <w:r>
              <w:rPr>
                <w:rFonts w:ascii="Times New Roman" w:hAnsi="Times New Roman" w:eastAsia="宋体" w:cs="Times New Roman"/>
                <w:kern w:val="0"/>
                <w:sz w:val="18"/>
                <w:szCs w:val="18"/>
                <w:vertAlign w:val="superscript"/>
              </w:rPr>
              <w:t>a</w:t>
            </w:r>
          </w:p>
        </w:tc>
        <w:tc>
          <w:tcPr>
            <w:tcW w:w="1880"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3.97±0.25</w:t>
            </w:r>
            <w:r>
              <w:rPr>
                <w:rFonts w:ascii="Times New Roman" w:hAnsi="Times New Roman" w:eastAsia="宋体" w:cs="Times New Roman"/>
                <w:kern w:val="0"/>
                <w:sz w:val="18"/>
                <w:szCs w:val="18"/>
                <w:vertAlign w:val="super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71" w:type="dxa"/>
            <w:tcBorders>
              <w:left w:val="nil"/>
              <w:right w:val="nil"/>
            </w:tcBorders>
            <w:vAlign w:val="center"/>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60℃烘干</w:t>
            </w:r>
          </w:p>
        </w:tc>
        <w:tc>
          <w:tcPr>
            <w:tcW w:w="177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0.22±0.01</w:t>
            </w:r>
            <w:r>
              <w:rPr>
                <w:rFonts w:ascii="Times New Roman" w:hAnsi="Times New Roman" w:eastAsia="宋体" w:cs="Times New Roman"/>
                <w:kern w:val="0"/>
                <w:sz w:val="18"/>
                <w:szCs w:val="18"/>
                <w:vertAlign w:val="superscript"/>
              </w:rPr>
              <w:t>b</w:t>
            </w:r>
          </w:p>
        </w:tc>
        <w:tc>
          <w:tcPr>
            <w:tcW w:w="177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1.50±0.04</w:t>
            </w:r>
            <w:r>
              <w:rPr>
                <w:rFonts w:ascii="Times New Roman" w:hAnsi="Times New Roman" w:eastAsia="宋体" w:cs="Times New Roman"/>
                <w:kern w:val="0"/>
                <w:sz w:val="18"/>
                <w:szCs w:val="18"/>
                <w:vertAlign w:val="superscript"/>
              </w:rPr>
              <w:t>cd</w:t>
            </w:r>
          </w:p>
        </w:tc>
        <w:tc>
          <w:tcPr>
            <w:tcW w:w="177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48.46±1.69</w:t>
            </w:r>
            <w:r>
              <w:rPr>
                <w:rFonts w:ascii="Times New Roman" w:hAnsi="Times New Roman" w:eastAsia="宋体" w:cs="Times New Roman"/>
                <w:kern w:val="0"/>
                <w:sz w:val="18"/>
                <w:szCs w:val="18"/>
                <w:vertAlign w:val="superscript"/>
              </w:rPr>
              <w:t>ab</w:t>
            </w:r>
          </w:p>
        </w:tc>
        <w:tc>
          <w:tcPr>
            <w:tcW w:w="1880"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3.83±0.11</w:t>
            </w:r>
            <w:r>
              <w:rPr>
                <w:rFonts w:ascii="Times New Roman" w:hAnsi="Times New Roman" w:eastAsia="宋体" w:cs="Times New Roman"/>
                <w:kern w:val="0"/>
                <w:sz w:val="18"/>
                <w:szCs w:val="18"/>
                <w:vertAlign w:val="super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tcBorders>
              <w:left w:val="nil"/>
              <w:right w:val="nil"/>
            </w:tcBorders>
            <w:vAlign w:val="center"/>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70℃烘干</w:t>
            </w:r>
          </w:p>
        </w:tc>
        <w:tc>
          <w:tcPr>
            <w:tcW w:w="177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0.22±0.02</w:t>
            </w:r>
            <w:r>
              <w:rPr>
                <w:rFonts w:ascii="Times New Roman" w:hAnsi="Times New Roman" w:eastAsia="宋体" w:cs="Times New Roman"/>
                <w:kern w:val="0"/>
                <w:sz w:val="18"/>
                <w:szCs w:val="18"/>
                <w:vertAlign w:val="superscript"/>
              </w:rPr>
              <w:t>b</w:t>
            </w:r>
          </w:p>
        </w:tc>
        <w:tc>
          <w:tcPr>
            <w:tcW w:w="177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1.47±0.17</w:t>
            </w:r>
            <w:r>
              <w:rPr>
                <w:rFonts w:ascii="Times New Roman" w:hAnsi="Times New Roman" w:eastAsia="宋体" w:cs="Times New Roman"/>
                <w:kern w:val="0"/>
                <w:sz w:val="18"/>
                <w:szCs w:val="18"/>
                <w:vertAlign w:val="superscript"/>
              </w:rPr>
              <w:t>cd</w:t>
            </w:r>
          </w:p>
        </w:tc>
        <w:tc>
          <w:tcPr>
            <w:tcW w:w="177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48.43±3.98</w:t>
            </w:r>
            <w:r>
              <w:rPr>
                <w:rFonts w:ascii="Times New Roman" w:hAnsi="Times New Roman" w:eastAsia="宋体" w:cs="Times New Roman"/>
                <w:kern w:val="0"/>
                <w:sz w:val="18"/>
                <w:szCs w:val="18"/>
                <w:vertAlign w:val="superscript"/>
              </w:rPr>
              <w:t>ab</w:t>
            </w:r>
          </w:p>
        </w:tc>
        <w:tc>
          <w:tcPr>
            <w:tcW w:w="1880"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3.70±0.24</w:t>
            </w:r>
            <w:r>
              <w:rPr>
                <w:rFonts w:ascii="Times New Roman" w:hAnsi="Times New Roman" w:eastAsia="宋体" w:cs="Times New Roman"/>
                <w:kern w:val="0"/>
                <w:sz w:val="18"/>
                <w:szCs w:val="18"/>
                <w:vertAlign w:val="super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tcBorders>
              <w:left w:val="nil"/>
              <w:right w:val="nil"/>
            </w:tcBorders>
            <w:vAlign w:val="center"/>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80℃烘干</w:t>
            </w:r>
          </w:p>
        </w:tc>
        <w:tc>
          <w:tcPr>
            <w:tcW w:w="177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0.21±0.02</w:t>
            </w:r>
            <w:r>
              <w:rPr>
                <w:rFonts w:ascii="Times New Roman" w:hAnsi="Times New Roman" w:eastAsia="宋体" w:cs="Times New Roman"/>
                <w:kern w:val="0"/>
                <w:sz w:val="18"/>
                <w:szCs w:val="18"/>
                <w:vertAlign w:val="superscript"/>
              </w:rPr>
              <w:t>b</w:t>
            </w:r>
          </w:p>
        </w:tc>
        <w:tc>
          <w:tcPr>
            <w:tcW w:w="177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1.50±0.10</w:t>
            </w:r>
            <w:r>
              <w:rPr>
                <w:rFonts w:ascii="Times New Roman" w:hAnsi="Times New Roman" w:eastAsia="宋体" w:cs="Times New Roman"/>
                <w:kern w:val="0"/>
                <w:sz w:val="18"/>
                <w:szCs w:val="18"/>
                <w:vertAlign w:val="superscript"/>
              </w:rPr>
              <w:t>c</w:t>
            </w:r>
          </w:p>
        </w:tc>
        <w:tc>
          <w:tcPr>
            <w:tcW w:w="177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49.67±1.90</w:t>
            </w:r>
            <w:r>
              <w:rPr>
                <w:rFonts w:ascii="Times New Roman" w:hAnsi="Times New Roman" w:eastAsia="宋体" w:cs="Times New Roman"/>
                <w:kern w:val="0"/>
                <w:sz w:val="18"/>
                <w:szCs w:val="18"/>
                <w:vertAlign w:val="superscript"/>
              </w:rPr>
              <w:t>a</w:t>
            </w:r>
          </w:p>
        </w:tc>
        <w:tc>
          <w:tcPr>
            <w:tcW w:w="1880"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3.47±0.07</w:t>
            </w:r>
            <w:r>
              <w:rPr>
                <w:rFonts w:ascii="Times New Roman" w:hAnsi="Times New Roman" w:eastAsia="宋体" w:cs="Times New Roman"/>
                <w:kern w:val="0"/>
                <w:sz w:val="18"/>
                <w:szCs w:val="18"/>
                <w:vertAlign w:val="super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tcBorders>
              <w:left w:val="nil"/>
              <w:right w:val="nil"/>
            </w:tcBorders>
            <w:vAlign w:val="center"/>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阴干</w:t>
            </w:r>
          </w:p>
        </w:tc>
        <w:tc>
          <w:tcPr>
            <w:tcW w:w="177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0.10±0.03</w:t>
            </w:r>
            <w:r>
              <w:rPr>
                <w:rFonts w:ascii="Times New Roman" w:hAnsi="Times New Roman" w:eastAsia="宋体" w:cs="Times New Roman"/>
                <w:kern w:val="0"/>
                <w:sz w:val="18"/>
                <w:szCs w:val="18"/>
                <w:vertAlign w:val="superscript"/>
              </w:rPr>
              <w:t>c</w:t>
            </w:r>
          </w:p>
        </w:tc>
        <w:tc>
          <w:tcPr>
            <w:tcW w:w="177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1.15±0.11</w:t>
            </w:r>
            <w:r>
              <w:rPr>
                <w:rFonts w:ascii="Times New Roman" w:hAnsi="Times New Roman" w:eastAsia="宋体" w:cs="Times New Roman"/>
                <w:kern w:val="0"/>
                <w:sz w:val="18"/>
                <w:szCs w:val="18"/>
                <w:vertAlign w:val="superscript"/>
              </w:rPr>
              <w:t>c</w:t>
            </w:r>
          </w:p>
        </w:tc>
        <w:tc>
          <w:tcPr>
            <w:tcW w:w="177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25.71±3.49</w:t>
            </w:r>
            <w:r>
              <w:rPr>
                <w:rFonts w:ascii="Times New Roman" w:hAnsi="Times New Roman" w:eastAsia="宋体" w:cs="Times New Roman"/>
                <w:kern w:val="0"/>
                <w:sz w:val="18"/>
                <w:szCs w:val="18"/>
                <w:vertAlign w:val="superscript"/>
              </w:rPr>
              <w:t>d</w:t>
            </w:r>
          </w:p>
        </w:tc>
        <w:tc>
          <w:tcPr>
            <w:tcW w:w="1880"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4.94±0.69</w:t>
            </w:r>
            <w:r>
              <w:rPr>
                <w:rFonts w:ascii="Times New Roman" w:hAnsi="Times New Roman" w:eastAsia="宋体" w:cs="Times New Roman"/>
                <w:kern w:val="0"/>
                <w:sz w:val="18"/>
                <w:szCs w:val="18"/>
                <w:vertAlign w:val="superscript"/>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71" w:type="dxa"/>
            <w:tcBorders>
              <w:left w:val="nil"/>
              <w:right w:val="nil"/>
            </w:tcBorders>
            <w:vAlign w:val="center"/>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晒干</w:t>
            </w:r>
          </w:p>
        </w:tc>
        <w:tc>
          <w:tcPr>
            <w:tcW w:w="177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0.06±0.02</w:t>
            </w:r>
            <w:r>
              <w:rPr>
                <w:rFonts w:ascii="Times New Roman" w:hAnsi="Times New Roman" w:eastAsia="宋体" w:cs="Times New Roman"/>
                <w:kern w:val="0"/>
                <w:sz w:val="18"/>
                <w:szCs w:val="18"/>
                <w:vertAlign w:val="superscript"/>
              </w:rPr>
              <w:t>c</w:t>
            </w:r>
          </w:p>
        </w:tc>
        <w:tc>
          <w:tcPr>
            <w:tcW w:w="177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2.30±0.03</w:t>
            </w:r>
            <w:r>
              <w:rPr>
                <w:rFonts w:ascii="Times New Roman" w:hAnsi="Times New Roman" w:eastAsia="宋体" w:cs="Times New Roman"/>
                <w:kern w:val="0"/>
                <w:sz w:val="18"/>
                <w:szCs w:val="18"/>
                <w:vertAlign w:val="superscript"/>
              </w:rPr>
              <w:t>b</w:t>
            </w:r>
          </w:p>
        </w:tc>
        <w:tc>
          <w:tcPr>
            <w:tcW w:w="177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37.58±1.83</w:t>
            </w:r>
            <w:r>
              <w:rPr>
                <w:rFonts w:ascii="Times New Roman" w:hAnsi="Times New Roman" w:eastAsia="宋体" w:cs="Times New Roman"/>
                <w:kern w:val="0"/>
                <w:sz w:val="18"/>
                <w:szCs w:val="18"/>
                <w:vertAlign w:val="superscript"/>
              </w:rPr>
              <w:t>c</w:t>
            </w:r>
          </w:p>
        </w:tc>
        <w:tc>
          <w:tcPr>
            <w:tcW w:w="1880"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5.39±0.21</w:t>
            </w:r>
            <w:r>
              <w:rPr>
                <w:rFonts w:ascii="Times New Roman" w:hAnsi="Times New Roman" w:eastAsia="宋体" w:cs="Times New Roman"/>
                <w:kern w:val="0"/>
                <w:sz w:val="18"/>
                <w:szCs w:val="18"/>
                <w:vertAlign w:val="superscript"/>
              </w:rPr>
              <w:t>ab</w:t>
            </w:r>
          </w:p>
        </w:tc>
      </w:tr>
    </w:tbl>
    <w:p>
      <w:pPr>
        <w:spacing w:before="156" w:beforeLines="50" w:after="156" w:afterLines="50"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采收栀子进行产地初加工干燥温度工艺研究，</w:t>
      </w:r>
      <w:r>
        <w:rPr>
          <w:rFonts w:ascii="Times New Roman" w:hAnsi="Times New Roman" w:eastAsia="宋体" w:cs="Times New Roman"/>
          <w:sz w:val="24"/>
          <w:szCs w:val="24"/>
        </w:rPr>
        <w:t>鲜药材采摘后4 h内作如下处理</w:t>
      </w:r>
      <w:r>
        <w:rPr>
          <w:rFonts w:hint="eastAsia" w:ascii="Times New Roman" w:hAnsi="Times New Roman" w:eastAsia="宋体" w:cs="Times New Roman"/>
          <w:sz w:val="24"/>
          <w:szCs w:val="24"/>
        </w:rPr>
        <w:t>：</w:t>
      </w:r>
      <w:r>
        <w:rPr>
          <w:rFonts w:ascii="Times New Roman" w:hAnsi="Times New Roman" w:eastAsia="宋体" w:cs="Times New Roman"/>
          <w:sz w:val="24"/>
          <w:szCs w:val="24"/>
        </w:rPr>
        <w:t>烘干</w:t>
      </w:r>
      <w:r>
        <w:rPr>
          <w:rFonts w:hint="eastAsia" w:ascii="Times New Roman" w:hAnsi="Times New Roman" w:eastAsia="宋体" w:cs="Times New Roman"/>
          <w:sz w:val="24"/>
          <w:szCs w:val="24"/>
        </w:rPr>
        <w:t>（薄平摊于烘箱中</w:t>
      </w:r>
      <w:r>
        <w:rPr>
          <w:rFonts w:ascii="Times New Roman" w:hAnsi="Times New Roman" w:eastAsia="宋体" w:cs="Times New Roman"/>
          <w:sz w:val="24"/>
          <w:szCs w:val="24"/>
        </w:rPr>
        <w:t>烘干</w:t>
      </w:r>
      <w:r>
        <w:rPr>
          <w:rFonts w:hint="eastAsia" w:ascii="Times New Roman" w:hAnsi="Times New Roman" w:eastAsia="宋体" w:cs="Times New Roman"/>
          <w:sz w:val="24"/>
          <w:szCs w:val="24"/>
        </w:rPr>
        <w:t>）；</w:t>
      </w:r>
      <w:r>
        <w:rPr>
          <w:rFonts w:ascii="Times New Roman" w:hAnsi="Times New Roman" w:eastAsia="宋体" w:cs="Times New Roman"/>
          <w:sz w:val="24"/>
          <w:szCs w:val="24"/>
        </w:rPr>
        <w:t>晒干</w:t>
      </w:r>
      <w:r>
        <w:rPr>
          <w:rFonts w:hint="eastAsia" w:ascii="Times New Roman" w:hAnsi="Times New Roman" w:eastAsia="宋体" w:cs="Times New Roman"/>
          <w:sz w:val="24"/>
          <w:szCs w:val="24"/>
        </w:rPr>
        <w:t>（</w:t>
      </w:r>
      <w:r>
        <w:rPr>
          <w:rFonts w:ascii="Times New Roman" w:hAnsi="Times New Roman" w:eastAsia="宋体" w:cs="Times New Roman"/>
          <w:sz w:val="24"/>
          <w:szCs w:val="24"/>
        </w:rPr>
        <w:t>薄平摊在太阳下直晒</w:t>
      </w:r>
      <w:r>
        <w:rPr>
          <w:rFonts w:hint="eastAsia" w:ascii="Times New Roman" w:hAnsi="Times New Roman" w:eastAsia="宋体" w:cs="Times New Roman"/>
          <w:sz w:val="24"/>
          <w:szCs w:val="24"/>
        </w:rPr>
        <w:t>）；</w:t>
      </w:r>
      <w:r>
        <w:rPr>
          <w:rFonts w:ascii="Times New Roman" w:hAnsi="Times New Roman" w:eastAsia="宋体" w:cs="Times New Roman"/>
          <w:sz w:val="24"/>
          <w:szCs w:val="24"/>
        </w:rPr>
        <w:t>阴干</w:t>
      </w:r>
      <w:r>
        <w:rPr>
          <w:rFonts w:hint="eastAsia" w:ascii="Times New Roman" w:hAnsi="Times New Roman" w:eastAsia="宋体" w:cs="Times New Roman"/>
          <w:sz w:val="24"/>
          <w:szCs w:val="24"/>
        </w:rPr>
        <w:t>（</w:t>
      </w:r>
      <w:r>
        <w:rPr>
          <w:rFonts w:ascii="Times New Roman" w:hAnsi="Times New Roman" w:eastAsia="宋体" w:cs="Times New Roman"/>
          <w:sz w:val="24"/>
          <w:szCs w:val="24"/>
        </w:rPr>
        <w:t>室内干燥通风处晾干</w:t>
      </w:r>
      <w:r>
        <w:rPr>
          <w:rFonts w:hint="eastAsia" w:ascii="Times New Roman" w:hAnsi="Times New Roman" w:eastAsia="宋体" w:cs="Times New Roman"/>
          <w:sz w:val="24"/>
          <w:szCs w:val="24"/>
        </w:rPr>
        <w:t>）；鼓风干燥（</w:t>
      </w:r>
      <w:r>
        <w:rPr>
          <w:rFonts w:ascii="Times New Roman" w:hAnsi="Times New Roman" w:eastAsia="宋体" w:cs="Times New Roman"/>
          <w:sz w:val="24"/>
          <w:szCs w:val="24"/>
        </w:rPr>
        <w:t>平摊</w:t>
      </w:r>
      <w:r>
        <w:rPr>
          <w:rFonts w:hint="eastAsia" w:ascii="Times New Roman" w:hAnsi="Times New Roman" w:eastAsia="宋体" w:cs="Times New Roman"/>
          <w:sz w:val="24"/>
          <w:szCs w:val="24"/>
        </w:rPr>
        <w:t>在不同温度的鼓风干燥机中干燥）</w:t>
      </w:r>
      <w:r>
        <w:rPr>
          <w:rFonts w:ascii="Times New Roman" w:hAnsi="Times New Roman" w:eastAsia="宋体" w:cs="Times New Roman"/>
          <w:sz w:val="24"/>
          <w:szCs w:val="24"/>
        </w:rPr>
        <w:t>。所得干燥样品制备供试品溶液，测定。</w:t>
      </w:r>
      <w:r>
        <w:rPr>
          <w:rFonts w:hint="eastAsia" w:ascii="Times New Roman" w:hAnsi="Times New Roman" w:eastAsia="宋体" w:cs="Times New Roman"/>
          <w:sz w:val="24"/>
          <w:szCs w:val="24"/>
        </w:rPr>
        <w:t>由表6可知，热风烘干时，随着烘干温度的升高，栀子酸、西红花苷Ⅰ有下降趋势，40℃最高，50~80℃下降但无显著差异 (P&gt;0.05) ；绿原酸、栀子苷先升后降然后趋于平稳，50℃ 含量最高；阴干和晒干样中栀子苷、栀子酸显著低于烘干 (P&lt;0.05) ，西红花苷Ⅰ低于40℃烘干但高于其他温度；综合考虑，干燥以50℃烘干最佳。考虑加工效率，实际生产以50-60℃干燥为宜。同时，晒干、阴干样中栀子苷也高于《中国药典》标准的1.8% ，但阴干样品在干燥过程中就部分发生霉变，因此，采用晒干方式也是可行的。</w:t>
      </w:r>
    </w:p>
    <w:p>
      <w:pPr>
        <w:spacing w:line="360" w:lineRule="auto"/>
        <w:ind w:firstLine="420" w:firstLineChars="200"/>
        <w:jc w:val="center"/>
        <w:rPr>
          <w:rFonts w:ascii="Times New Roman" w:hAnsi="Times New Roman" w:eastAsia="黑体" w:cs="Times New Roman"/>
        </w:rPr>
      </w:pPr>
      <w:r>
        <w:rPr>
          <w:rFonts w:ascii="Times New Roman" w:hAnsi="Times New Roman" w:eastAsia="黑体" w:cs="Times New Roman"/>
        </w:rPr>
        <w:t>表</w:t>
      </w:r>
      <w:r>
        <w:rPr>
          <w:rFonts w:hint="eastAsia" w:ascii="Times New Roman" w:hAnsi="Times New Roman" w:eastAsia="黑体" w:cs="Times New Roman"/>
        </w:rPr>
        <w:t>7</w:t>
      </w:r>
      <w:r>
        <w:rPr>
          <w:rFonts w:ascii="Times New Roman" w:hAnsi="Times New Roman" w:eastAsia="黑体" w:cs="Times New Roman"/>
        </w:rPr>
        <w:t xml:space="preserve"> </w:t>
      </w:r>
      <w:r>
        <w:rPr>
          <w:rFonts w:hint="eastAsia" w:ascii="Times New Roman" w:hAnsi="Times New Roman" w:eastAsia="黑体" w:cs="Times New Roman"/>
        </w:rPr>
        <w:t>切制对栀子中活性成分含量</w:t>
      </w:r>
      <w:r>
        <w:rPr>
          <w:rFonts w:ascii="Times New Roman" w:hAnsi="Times New Roman" w:eastAsia="黑体" w:cs="Times New Roman"/>
        </w:rPr>
        <w:t>的影响</w:t>
      </w:r>
    </w:p>
    <w:tbl>
      <w:tblPr>
        <w:tblStyle w:val="6"/>
        <w:tblW w:w="89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1"/>
        <w:gridCol w:w="1771"/>
        <w:gridCol w:w="1771"/>
        <w:gridCol w:w="1771"/>
        <w:gridCol w:w="1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tcBorders>
              <w:left w:val="nil"/>
              <w:right w:val="nil"/>
            </w:tcBorders>
            <w:vAlign w:val="center"/>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切制方法</w:t>
            </w:r>
          </w:p>
        </w:tc>
        <w:tc>
          <w:tcPr>
            <w:tcW w:w="177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栀子酸含量</w:t>
            </w:r>
          </w:p>
          <w:p>
            <w:pPr>
              <w:autoSpaceDE w:val="0"/>
              <w:autoSpaceDN w:val="0"/>
              <w:spacing w:before="35" w:line="360" w:lineRule="auto"/>
              <w:ind w:left="143" w:right="156"/>
              <w:jc w:val="center"/>
              <w:rPr>
                <w:rFonts w:ascii="Times New Roman" w:hAnsi="Times New Roman" w:eastAsia="宋体" w:cs="Times New Roman"/>
                <w:sz w:val="24"/>
                <w:szCs w:val="24"/>
              </w:rPr>
            </w:pPr>
            <w:r>
              <w:rPr>
                <w:rFonts w:hint="eastAsia" w:ascii="Times New Roman" w:hAnsi="Times New Roman" w:eastAsia="宋体" w:cs="Times New Roman"/>
                <w:kern w:val="0"/>
                <w:sz w:val="18"/>
                <w:szCs w:val="18"/>
              </w:rPr>
              <w:t>（mg/g）</w:t>
            </w:r>
          </w:p>
        </w:tc>
        <w:tc>
          <w:tcPr>
            <w:tcW w:w="177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绿原酸含量</w:t>
            </w:r>
          </w:p>
          <w:p>
            <w:pPr>
              <w:autoSpaceDE w:val="0"/>
              <w:autoSpaceDN w:val="0"/>
              <w:spacing w:before="35" w:line="360" w:lineRule="auto"/>
              <w:ind w:left="143" w:right="156"/>
              <w:jc w:val="center"/>
              <w:rPr>
                <w:rFonts w:ascii="Times New Roman" w:hAnsi="Times New Roman" w:eastAsia="宋体" w:cs="Times New Roman"/>
                <w:sz w:val="18"/>
                <w:szCs w:val="18"/>
              </w:rPr>
            </w:pPr>
            <w:r>
              <w:rPr>
                <w:rFonts w:hint="eastAsia" w:ascii="Times New Roman" w:hAnsi="Times New Roman" w:eastAsia="宋体" w:cs="Times New Roman"/>
                <w:kern w:val="0"/>
                <w:sz w:val="18"/>
                <w:szCs w:val="18"/>
              </w:rPr>
              <w:t>（mg/g）</w:t>
            </w:r>
          </w:p>
        </w:tc>
        <w:tc>
          <w:tcPr>
            <w:tcW w:w="177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栀子苷含量</w:t>
            </w:r>
          </w:p>
          <w:p>
            <w:pPr>
              <w:autoSpaceDE w:val="0"/>
              <w:autoSpaceDN w:val="0"/>
              <w:spacing w:before="35" w:line="360" w:lineRule="auto"/>
              <w:ind w:left="143" w:right="156"/>
              <w:jc w:val="center"/>
              <w:rPr>
                <w:rFonts w:ascii="Times New Roman" w:hAnsi="Times New Roman" w:eastAsia="宋体" w:cs="Times New Roman"/>
                <w:sz w:val="24"/>
                <w:szCs w:val="24"/>
              </w:rPr>
            </w:pPr>
            <w:r>
              <w:rPr>
                <w:rFonts w:hint="eastAsia" w:ascii="Times New Roman" w:hAnsi="Times New Roman" w:eastAsia="宋体" w:cs="Times New Roman"/>
                <w:kern w:val="0"/>
                <w:sz w:val="18"/>
                <w:szCs w:val="18"/>
              </w:rPr>
              <w:t>（mg/g）</w:t>
            </w:r>
          </w:p>
        </w:tc>
        <w:tc>
          <w:tcPr>
            <w:tcW w:w="1880"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西红花干Ⅰ含量</w:t>
            </w:r>
          </w:p>
          <w:p>
            <w:pPr>
              <w:autoSpaceDE w:val="0"/>
              <w:autoSpaceDN w:val="0"/>
              <w:spacing w:before="35" w:line="360" w:lineRule="auto"/>
              <w:ind w:left="143" w:right="156"/>
              <w:jc w:val="center"/>
              <w:rPr>
                <w:rFonts w:ascii="Times New Roman" w:hAnsi="Times New Roman" w:eastAsia="宋体" w:cs="Times New Roman"/>
                <w:sz w:val="24"/>
                <w:szCs w:val="24"/>
              </w:rPr>
            </w:pPr>
            <w:r>
              <w:rPr>
                <w:rFonts w:hint="eastAsia" w:ascii="Times New Roman" w:hAnsi="Times New Roman" w:eastAsia="宋体" w:cs="Times New Roman"/>
                <w:kern w:val="0"/>
                <w:sz w:val="18"/>
                <w:szCs w:val="18"/>
              </w:rPr>
              <w:t>（mg/g）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tcBorders>
              <w:left w:val="nil"/>
              <w:right w:val="nil"/>
            </w:tcBorders>
            <w:vAlign w:val="center"/>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不切</w:t>
            </w:r>
          </w:p>
        </w:tc>
        <w:tc>
          <w:tcPr>
            <w:tcW w:w="177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0.21±0.00</w:t>
            </w:r>
            <w:r>
              <w:rPr>
                <w:rFonts w:ascii="Times New Roman" w:hAnsi="Times New Roman" w:eastAsia="宋体" w:cs="Times New Roman"/>
                <w:kern w:val="0"/>
                <w:sz w:val="18"/>
                <w:szCs w:val="18"/>
                <w:vertAlign w:val="superscript"/>
              </w:rPr>
              <w:t>a</w:t>
            </w:r>
          </w:p>
        </w:tc>
        <w:tc>
          <w:tcPr>
            <w:tcW w:w="177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2.28±0.17</w:t>
            </w:r>
            <w:r>
              <w:rPr>
                <w:rFonts w:ascii="Times New Roman" w:hAnsi="Times New Roman" w:eastAsia="宋体" w:cs="Times New Roman"/>
                <w:kern w:val="0"/>
                <w:sz w:val="18"/>
                <w:szCs w:val="18"/>
                <w:vertAlign w:val="superscript"/>
              </w:rPr>
              <w:t>a</w:t>
            </w:r>
          </w:p>
        </w:tc>
        <w:tc>
          <w:tcPr>
            <w:tcW w:w="177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47.74±1.51</w:t>
            </w:r>
            <w:r>
              <w:rPr>
                <w:rFonts w:ascii="Times New Roman" w:hAnsi="Times New Roman" w:eastAsia="宋体" w:cs="Times New Roman"/>
                <w:kern w:val="0"/>
                <w:sz w:val="18"/>
                <w:szCs w:val="18"/>
                <w:vertAlign w:val="superscript"/>
              </w:rPr>
              <w:t>b</w:t>
            </w:r>
          </w:p>
        </w:tc>
        <w:tc>
          <w:tcPr>
            <w:tcW w:w="1880"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4.17±0.34</w:t>
            </w:r>
            <w:r>
              <w:rPr>
                <w:rFonts w:ascii="Times New Roman" w:hAnsi="Times New Roman" w:eastAsia="宋体" w:cs="Times New Roman"/>
                <w:kern w:val="0"/>
                <w:sz w:val="18"/>
                <w:szCs w:val="18"/>
                <w:vertAlign w:val="superscript"/>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tcBorders>
              <w:left w:val="nil"/>
              <w:right w:val="nil"/>
            </w:tcBorders>
            <w:vAlign w:val="center"/>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切半</w:t>
            </w:r>
          </w:p>
        </w:tc>
        <w:tc>
          <w:tcPr>
            <w:tcW w:w="177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0.28±0.02</w:t>
            </w:r>
            <w:r>
              <w:rPr>
                <w:rFonts w:ascii="Times New Roman" w:hAnsi="Times New Roman" w:eastAsia="宋体" w:cs="Times New Roman"/>
                <w:kern w:val="0"/>
                <w:sz w:val="18"/>
                <w:szCs w:val="18"/>
                <w:vertAlign w:val="superscript"/>
              </w:rPr>
              <w:t>b</w:t>
            </w:r>
          </w:p>
        </w:tc>
        <w:tc>
          <w:tcPr>
            <w:tcW w:w="177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2.57±0.17</w:t>
            </w:r>
            <w:r>
              <w:rPr>
                <w:rFonts w:ascii="Times New Roman" w:hAnsi="Times New Roman" w:eastAsia="宋体" w:cs="Times New Roman"/>
                <w:kern w:val="0"/>
                <w:sz w:val="18"/>
                <w:szCs w:val="18"/>
                <w:vertAlign w:val="superscript"/>
              </w:rPr>
              <w:t>a</w:t>
            </w:r>
          </w:p>
        </w:tc>
        <w:tc>
          <w:tcPr>
            <w:tcW w:w="1771"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53.12±1.34</w:t>
            </w:r>
            <w:r>
              <w:rPr>
                <w:rFonts w:ascii="Times New Roman" w:hAnsi="Times New Roman" w:eastAsia="宋体" w:cs="Times New Roman"/>
                <w:kern w:val="0"/>
                <w:sz w:val="18"/>
                <w:szCs w:val="18"/>
                <w:vertAlign w:val="superscript"/>
              </w:rPr>
              <w:t>a</w:t>
            </w:r>
          </w:p>
        </w:tc>
        <w:tc>
          <w:tcPr>
            <w:tcW w:w="1880" w:type="dxa"/>
            <w:tcBorders>
              <w:left w:val="nil"/>
              <w:right w:val="nil"/>
            </w:tcBorders>
          </w:tcPr>
          <w:p>
            <w:pPr>
              <w:autoSpaceDE w:val="0"/>
              <w:autoSpaceDN w:val="0"/>
              <w:spacing w:before="35" w:line="360" w:lineRule="auto"/>
              <w:ind w:left="143" w:right="156"/>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6.08±0.19</w:t>
            </w:r>
            <w:r>
              <w:rPr>
                <w:rFonts w:ascii="Times New Roman" w:hAnsi="Times New Roman" w:eastAsia="宋体" w:cs="Times New Roman"/>
                <w:kern w:val="0"/>
                <w:sz w:val="18"/>
                <w:szCs w:val="18"/>
                <w:vertAlign w:val="superscript"/>
              </w:rPr>
              <w:t>a</w:t>
            </w:r>
          </w:p>
        </w:tc>
      </w:tr>
    </w:tbl>
    <w:p>
      <w:pPr>
        <w:spacing w:before="156" w:beforeLines="50" w:after="156" w:afterLines="50" w:line="360" w:lineRule="auto"/>
        <w:ind w:firstLine="602" w:firstLineChars="200"/>
        <w:rPr>
          <w:rFonts w:ascii="Times New Roman" w:hAnsi="Times New Roman" w:eastAsia="宋体" w:cs="Times New Roman"/>
          <w:b/>
          <w:bCs/>
          <w:sz w:val="30"/>
          <w:szCs w:val="30"/>
        </w:rPr>
      </w:pPr>
      <w:bookmarkStart w:id="3" w:name="_Hlk53388993"/>
      <w:r>
        <w:rPr>
          <w:rFonts w:hint="eastAsia" w:ascii="Times New Roman" w:hAnsi="Times New Roman" w:eastAsia="宋体" w:cs="Times New Roman"/>
          <w:b/>
          <w:bCs/>
          <w:sz w:val="30"/>
          <w:szCs w:val="30"/>
        </w:rPr>
        <w:t>四</w:t>
      </w:r>
      <w:r>
        <w:rPr>
          <w:rFonts w:ascii="Times New Roman" w:hAnsi="Times New Roman" w:eastAsia="宋体" w:cs="Times New Roman"/>
          <w:b/>
          <w:bCs/>
          <w:sz w:val="30"/>
          <w:szCs w:val="30"/>
        </w:rPr>
        <w:t>、产业化水平及预期的经济效果</w:t>
      </w:r>
    </w:p>
    <w:bookmarkEnd w:id="3"/>
    <w:p>
      <w:pPr>
        <w:pStyle w:val="11"/>
        <w:spacing w:line="360" w:lineRule="auto"/>
        <w:ind w:firstLine="480"/>
        <w:rPr>
          <w:rFonts w:ascii="Times New Roman" w:hAnsi="Times New Roman" w:cs="Times New Roman"/>
          <w:sz w:val="24"/>
          <w:szCs w:val="24"/>
        </w:rPr>
      </w:pPr>
      <w:r>
        <w:rPr>
          <w:rFonts w:ascii="Times New Roman" w:hAnsi="Times New Roman" w:cs="Times New Roman"/>
          <w:sz w:val="24"/>
          <w:szCs w:val="24"/>
        </w:rPr>
        <w:t>湖南</w:t>
      </w:r>
      <w:r>
        <w:rPr>
          <w:rFonts w:hint="eastAsia" w:ascii="Times New Roman" w:hAnsi="Times New Roman" w:cs="Times New Roman"/>
          <w:sz w:val="24"/>
          <w:szCs w:val="24"/>
        </w:rPr>
        <w:t>宁乡和岳阳屈原管理区是</w:t>
      </w:r>
      <w:r>
        <w:rPr>
          <w:rFonts w:ascii="Times New Roman" w:hAnsi="Times New Roman" w:cs="Times New Roman"/>
          <w:sz w:val="24"/>
          <w:szCs w:val="24"/>
        </w:rPr>
        <w:t>全国</w:t>
      </w:r>
      <w:r>
        <w:rPr>
          <w:rFonts w:hint="eastAsia" w:ascii="Times New Roman" w:hAnsi="Times New Roman" w:cs="Times New Roman"/>
          <w:sz w:val="24"/>
          <w:szCs w:val="24"/>
        </w:rPr>
        <w:t>栀子</w:t>
      </w:r>
      <w:r>
        <w:rPr>
          <w:rFonts w:ascii="Times New Roman" w:hAnsi="Times New Roman" w:cs="Times New Roman"/>
          <w:sz w:val="24"/>
          <w:szCs w:val="24"/>
        </w:rPr>
        <w:t>主产区，</w:t>
      </w:r>
      <w:r>
        <w:rPr>
          <w:rFonts w:hint="eastAsia" w:ascii="Times New Roman" w:hAnsi="Times New Roman" w:cs="Times New Roman"/>
          <w:sz w:val="24"/>
          <w:szCs w:val="24"/>
        </w:rPr>
        <w:t>宁乡</w:t>
      </w:r>
      <w:r>
        <w:rPr>
          <w:rFonts w:ascii="Times New Roman" w:hAnsi="Times New Roman" w:cs="Times New Roman"/>
          <w:sz w:val="24"/>
          <w:szCs w:val="24"/>
        </w:rPr>
        <w:t>现有面积达</w:t>
      </w:r>
      <w:r>
        <w:rPr>
          <w:rFonts w:hint="eastAsia" w:ascii="Times New Roman" w:hAnsi="Times New Roman" w:cs="Times New Roman"/>
          <w:sz w:val="24"/>
          <w:szCs w:val="24"/>
        </w:rPr>
        <w:t>1333公顷</w:t>
      </w:r>
      <w:r>
        <w:rPr>
          <w:rFonts w:ascii="Times New Roman" w:hAnsi="Times New Roman" w:cs="Times New Roman"/>
          <w:sz w:val="24"/>
          <w:szCs w:val="24"/>
        </w:rPr>
        <w:t>，年产</w:t>
      </w:r>
      <w:r>
        <w:rPr>
          <w:rFonts w:hint="eastAsia" w:ascii="Times New Roman" w:hAnsi="Times New Roman" w:cs="Times New Roman"/>
          <w:sz w:val="24"/>
          <w:szCs w:val="24"/>
        </w:rPr>
        <w:t>栀子1.28万吨。据《宁乡县志》记载，早在清朝年间，宁乡种植的栀子便闻名全国，宁乡也素有“栀子之乡”美称。地域范围宁乡栀子农产品地理标志地域保护范围为宁乡市喻家坳乡、菁华铺乡、大屯营镇、灰汤镇等25个乡镇234个行政村，保护区域面积10000公顷。宁乡栀子种植区位于湘中丘陵地带，海拔50 ~ 200m，具有坡缓、谷宽的特点，有利于栀子的规模化种植</w:t>
      </w:r>
      <w:r>
        <w:rPr>
          <w:rFonts w:ascii="Times New Roman" w:hAnsi="Times New Roman" w:cs="Times New Roman"/>
          <w:sz w:val="24"/>
          <w:szCs w:val="24"/>
        </w:rPr>
        <w:t>。</w:t>
      </w:r>
      <w:r>
        <w:rPr>
          <w:rFonts w:hint="eastAsia" w:ascii="Times New Roman" w:hAnsi="Times New Roman" w:cs="Times New Roman"/>
          <w:sz w:val="24"/>
          <w:szCs w:val="24"/>
        </w:rPr>
        <w:t>属亚热带湿润性季风气候，温和湿润，雨量充沛，夏季高温高湿，冬无严寒，水热资源配合良好，使得栀子树迅速成林，充足的光照有利于栀子产品药用成份的形成。境内有沩水及其支流、黄材水库等数十座水库，为宁乡栀子生长提供了充足灌溉水源。2021年成功申报“宁乡栀子”国家农产品地理标志登记。</w:t>
      </w:r>
    </w:p>
    <w:p>
      <w:pPr>
        <w:pStyle w:val="11"/>
        <w:spacing w:line="360" w:lineRule="auto"/>
        <w:ind w:firstLine="480"/>
        <w:rPr>
          <w:rFonts w:ascii="Times New Roman" w:hAnsi="Times New Roman" w:cs="Times New Roman"/>
          <w:sz w:val="24"/>
          <w:szCs w:val="24"/>
        </w:rPr>
      </w:pPr>
      <w:r>
        <w:rPr>
          <w:rFonts w:hint="eastAsia" w:ascii="Times New Roman" w:hAnsi="Times New Roman" w:cs="Times New Roman"/>
          <w:sz w:val="24"/>
          <w:szCs w:val="24"/>
        </w:rPr>
        <w:t>同时，栀子是岳阳市市花，栀子产业是屈原管理区“一县一特”主导特色产业,近年来屈原管理区大力抓好栀子产业的发展，建好屈原1万亩核心示范基地和区外20万亩种植基地，做大做强栀子种苗细胞培育、示范种植、精深加工、市场销售、旅游赋能全产业链，全力冲刺10亿元产值。</w:t>
      </w:r>
      <w:r>
        <w:rPr>
          <w:rFonts w:ascii="Times New Roman" w:hAnsi="Times New Roman" w:cs="Times New Roman"/>
          <w:sz w:val="24"/>
          <w:szCs w:val="24"/>
        </w:rPr>
        <w:t>近年来，随着产业升级的逐步推进，湖南</w:t>
      </w:r>
      <w:r>
        <w:rPr>
          <w:rFonts w:hint="eastAsia" w:ascii="Times New Roman" w:hAnsi="Times New Roman" w:cs="Times New Roman"/>
          <w:sz w:val="24"/>
          <w:szCs w:val="24"/>
        </w:rPr>
        <w:t>栀子</w:t>
      </w:r>
      <w:r>
        <w:rPr>
          <w:rFonts w:ascii="Times New Roman" w:hAnsi="Times New Roman" w:cs="Times New Roman"/>
          <w:sz w:val="24"/>
          <w:szCs w:val="24"/>
        </w:rPr>
        <w:t>产业由简单的原材料生产地，向着高质量优质生产和建立完备的产业下游升级。</w:t>
      </w:r>
      <w:r>
        <w:rPr>
          <w:rFonts w:hint="eastAsia" w:ascii="Times New Roman" w:hAnsi="Times New Roman" w:cs="Times New Roman"/>
          <w:sz w:val="24"/>
          <w:szCs w:val="24"/>
        </w:rPr>
        <w:t>2018-2021年年间</w:t>
      </w:r>
      <w:r>
        <w:rPr>
          <w:rFonts w:ascii="Times New Roman" w:hAnsi="Times New Roman" w:cs="Times New Roman"/>
          <w:sz w:val="24"/>
          <w:szCs w:val="24"/>
        </w:rPr>
        <w:t>，湖南省共申请有关</w:t>
      </w:r>
      <w:r>
        <w:rPr>
          <w:rFonts w:hint="eastAsia" w:ascii="Times New Roman" w:hAnsi="Times New Roman" w:cs="Times New Roman"/>
          <w:sz w:val="24"/>
          <w:szCs w:val="24"/>
        </w:rPr>
        <w:t>栀子</w:t>
      </w:r>
      <w:r>
        <w:rPr>
          <w:rFonts w:ascii="Times New Roman" w:hAnsi="Times New Roman" w:cs="Times New Roman"/>
          <w:sz w:val="24"/>
          <w:szCs w:val="24"/>
        </w:rPr>
        <w:t>的专利</w:t>
      </w:r>
      <w:r>
        <w:rPr>
          <w:rFonts w:hint="eastAsia" w:ascii="Times New Roman" w:hAnsi="Times New Roman" w:cs="Times New Roman"/>
          <w:sz w:val="24"/>
          <w:szCs w:val="24"/>
        </w:rPr>
        <w:t>146</w:t>
      </w:r>
      <w:r>
        <w:rPr>
          <w:rFonts w:ascii="Times New Roman" w:hAnsi="Times New Roman" w:cs="Times New Roman"/>
          <w:sz w:val="24"/>
          <w:szCs w:val="24"/>
        </w:rPr>
        <w:t>条，其中，主要</w:t>
      </w:r>
      <w:r>
        <w:rPr>
          <w:rFonts w:hint="eastAsia" w:ascii="Times New Roman" w:hAnsi="Times New Roman" w:cs="Times New Roman"/>
          <w:sz w:val="24"/>
          <w:szCs w:val="24"/>
        </w:rPr>
        <w:t>包括</w:t>
      </w:r>
      <w:r>
        <w:rPr>
          <w:rFonts w:ascii="Times New Roman" w:hAnsi="Times New Roman" w:cs="Times New Roman"/>
          <w:sz w:val="24"/>
          <w:szCs w:val="24"/>
        </w:rPr>
        <w:t>药用中成剂、</w:t>
      </w:r>
      <w:r>
        <w:rPr>
          <w:rFonts w:hint="eastAsia" w:ascii="Times New Roman" w:hAnsi="Times New Roman" w:cs="Times New Roman"/>
          <w:sz w:val="24"/>
          <w:szCs w:val="24"/>
        </w:rPr>
        <w:t>药材种植技术等多个方向</w:t>
      </w:r>
      <w:r>
        <w:rPr>
          <w:rFonts w:ascii="Times New Roman" w:hAnsi="Times New Roman" w:cs="Times New Roman"/>
          <w:sz w:val="24"/>
          <w:szCs w:val="24"/>
        </w:rPr>
        <w:t>。药用中成剂和保健茶饮料均为</w:t>
      </w:r>
      <w:r>
        <w:rPr>
          <w:rFonts w:hint="eastAsia" w:ascii="Times New Roman" w:hAnsi="Times New Roman" w:cs="Times New Roman"/>
          <w:sz w:val="24"/>
          <w:szCs w:val="24"/>
        </w:rPr>
        <w:t>栀子</w:t>
      </w:r>
      <w:r>
        <w:rPr>
          <w:rFonts w:ascii="Times New Roman" w:hAnsi="Times New Roman" w:cs="Times New Roman"/>
          <w:sz w:val="24"/>
          <w:szCs w:val="24"/>
        </w:rPr>
        <w:t>深加工产物制备</w:t>
      </w:r>
      <w:r>
        <w:rPr>
          <w:rFonts w:hint="eastAsia" w:ascii="Times New Roman" w:hAnsi="Times New Roman" w:cs="Times New Roman"/>
          <w:sz w:val="24"/>
          <w:szCs w:val="24"/>
        </w:rPr>
        <w:t>，种植技术主要集中在栀子幼苗的培养方面</w:t>
      </w:r>
      <w:r>
        <w:rPr>
          <w:rFonts w:ascii="Times New Roman" w:hAnsi="Times New Roman" w:cs="Times New Roman"/>
          <w:sz w:val="24"/>
          <w:szCs w:val="24"/>
        </w:rPr>
        <w:t>。湖南</w:t>
      </w:r>
      <w:r>
        <w:rPr>
          <w:rFonts w:hint="eastAsia" w:ascii="Times New Roman" w:hAnsi="Times New Roman" w:cs="Times New Roman"/>
          <w:sz w:val="24"/>
          <w:szCs w:val="24"/>
        </w:rPr>
        <w:t>栀子</w:t>
      </w:r>
      <w:r>
        <w:rPr>
          <w:rFonts w:ascii="Times New Roman" w:hAnsi="Times New Roman" w:cs="Times New Roman"/>
          <w:sz w:val="24"/>
          <w:szCs w:val="24"/>
        </w:rPr>
        <w:t>产业的技术发展主要集中在了</w:t>
      </w:r>
      <w:r>
        <w:rPr>
          <w:rFonts w:hint="eastAsia" w:ascii="Times New Roman" w:hAnsi="Times New Roman" w:cs="Times New Roman"/>
          <w:sz w:val="24"/>
          <w:szCs w:val="24"/>
        </w:rPr>
        <w:t>栀子的药用成分提取</w:t>
      </w:r>
      <w:r>
        <w:rPr>
          <w:rFonts w:ascii="Times New Roman" w:hAnsi="Times New Roman" w:cs="Times New Roman"/>
          <w:sz w:val="24"/>
          <w:szCs w:val="24"/>
        </w:rPr>
        <w:t>利用方面，深加工及其他产品的发展仍处在初级阶段。</w:t>
      </w:r>
    </w:p>
    <w:p>
      <w:pPr>
        <w:pStyle w:val="11"/>
        <w:widowControl w:val="0"/>
        <w:spacing w:line="360" w:lineRule="auto"/>
        <w:ind w:firstLine="480"/>
        <w:rPr>
          <w:rFonts w:ascii="Times New Roman" w:hAnsi="Times New Roman" w:cs="Times New Roman"/>
          <w:b/>
          <w:bCs/>
          <w:sz w:val="24"/>
          <w:szCs w:val="24"/>
        </w:rPr>
      </w:pPr>
      <w:r>
        <w:rPr>
          <w:rFonts w:cs="Times New Roman"/>
          <w:sz w:val="24"/>
          <w:szCs w:val="24"/>
        </w:rPr>
        <w:t>本标准制订后，将进一步促进</w:t>
      </w:r>
      <w:r>
        <w:rPr>
          <w:rFonts w:hint="eastAsia" w:cs="Times New Roman"/>
          <w:sz w:val="24"/>
          <w:szCs w:val="24"/>
        </w:rPr>
        <w:t>栀子</w:t>
      </w:r>
      <w:r>
        <w:rPr>
          <w:rFonts w:cs="Times New Roman"/>
          <w:sz w:val="24"/>
          <w:szCs w:val="24"/>
        </w:rPr>
        <w:t>行业发展，</w:t>
      </w:r>
      <w:r>
        <w:rPr>
          <w:rFonts w:hint="eastAsia" w:cs="Times New Roman"/>
          <w:sz w:val="24"/>
          <w:szCs w:val="24"/>
        </w:rPr>
        <w:t>从源头上</w:t>
      </w:r>
      <w:r>
        <w:rPr>
          <w:rFonts w:cs="Times New Roman"/>
          <w:sz w:val="24"/>
          <w:szCs w:val="24"/>
        </w:rPr>
        <w:t>为广大消费者提供高品质</w:t>
      </w:r>
      <w:r>
        <w:rPr>
          <w:rFonts w:hint="eastAsia" w:cs="Times New Roman"/>
          <w:sz w:val="24"/>
          <w:szCs w:val="24"/>
        </w:rPr>
        <w:t>栀子</w:t>
      </w:r>
      <w:r>
        <w:rPr>
          <w:rFonts w:cs="Times New Roman"/>
          <w:sz w:val="24"/>
          <w:szCs w:val="24"/>
        </w:rPr>
        <w:t>产品。</w:t>
      </w:r>
    </w:p>
    <w:p>
      <w:pPr>
        <w:spacing w:before="156" w:beforeLines="50" w:after="156" w:afterLines="50" w:line="360" w:lineRule="auto"/>
        <w:ind w:firstLine="602" w:firstLineChars="200"/>
        <w:rPr>
          <w:rFonts w:ascii="Times New Roman" w:hAnsi="Times New Roman" w:eastAsia="宋体" w:cs="Times New Roman"/>
          <w:b/>
          <w:bCs/>
          <w:sz w:val="30"/>
          <w:szCs w:val="30"/>
        </w:rPr>
      </w:pPr>
      <w:bookmarkStart w:id="4" w:name="_Hlk53389019"/>
      <w:r>
        <w:rPr>
          <w:rFonts w:ascii="Times New Roman" w:hAnsi="Times New Roman" w:eastAsia="宋体" w:cs="Times New Roman"/>
          <w:b/>
          <w:bCs/>
          <w:sz w:val="30"/>
          <w:szCs w:val="30"/>
        </w:rPr>
        <w:t>六、采用国内外标准的程度及水平</w:t>
      </w:r>
      <w:bookmarkEnd w:id="4"/>
    </w:p>
    <w:p>
      <w:pPr>
        <w:spacing w:line="360" w:lineRule="auto"/>
        <w:ind w:firstLine="540" w:firstLineChars="225"/>
        <w:rPr>
          <w:rFonts w:ascii="Times New Roman" w:hAnsi="Times New Roman" w:eastAsia="宋体" w:cs="Times New Roman"/>
          <w:sz w:val="24"/>
          <w:szCs w:val="24"/>
        </w:rPr>
      </w:pPr>
      <w:r>
        <w:rPr>
          <w:rFonts w:ascii="Times New Roman" w:hAnsi="Times New Roman" w:eastAsia="宋体" w:cs="Times New Roman"/>
          <w:sz w:val="24"/>
          <w:szCs w:val="24"/>
        </w:rPr>
        <w:t>关于</w:t>
      </w:r>
      <w:r>
        <w:rPr>
          <w:rFonts w:hint="eastAsia" w:ascii="Times New Roman" w:hAnsi="Times New Roman" w:eastAsia="宋体" w:cs="Times New Roman"/>
          <w:sz w:val="24"/>
          <w:szCs w:val="24"/>
        </w:rPr>
        <w:t>栀子</w:t>
      </w:r>
      <w:r>
        <w:rPr>
          <w:rFonts w:ascii="Times New Roman" w:hAnsi="Times New Roman" w:eastAsia="宋体" w:cs="Times New Roman"/>
          <w:sz w:val="24"/>
          <w:szCs w:val="24"/>
        </w:rPr>
        <w:t>的采收、初加工、贮运，目前国内现有的地方标准有如下：</w:t>
      </w:r>
    </w:p>
    <w:p>
      <w:pPr>
        <w:numPr>
          <w:ilvl w:val="0"/>
          <w:numId w:val="2"/>
        </w:numPr>
        <w:spacing w:line="360" w:lineRule="auto"/>
        <w:ind w:firstLine="540" w:firstLineChars="225"/>
        <w:rPr>
          <w:rFonts w:ascii="Times New Roman" w:hAnsi="Times New Roman" w:eastAsia="宋体" w:cs="Times New Roman"/>
          <w:sz w:val="24"/>
          <w:szCs w:val="24"/>
        </w:rPr>
      </w:pPr>
      <w:r>
        <w:rPr>
          <w:rFonts w:hint="eastAsia" w:ascii="Times New Roman" w:hAnsi="Times New Roman" w:eastAsia="宋体" w:cs="Times New Roman"/>
          <w:sz w:val="24"/>
          <w:szCs w:val="24"/>
        </w:rPr>
        <w:t>《中国药典》</w:t>
      </w:r>
    </w:p>
    <w:p>
      <w:pPr>
        <w:numPr>
          <w:ilvl w:val="0"/>
          <w:numId w:val="2"/>
        </w:numPr>
        <w:spacing w:line="360" w:lineRule="auto"/>
        <w:ind w:firstLine="540" w:firstLineChars="225"/>
        <w:rPr>
          <w:rFonts w:ascii="Times New Roman" w:hAnsi="Times New Roman" w:eastAsia="宋体" w:cs="Times New Roman"/>
          <w:sz w:val="24"/>
          <w:szCs w:val="24"/>
        </w:rPr>
      </w:pPr>
      <w:r>
        <w:rPr>
          <w:rFonts w:hint="eastAsia" w:ascii="Times New Roman" w:hAnsi="Times New Roman" w:eastAsia="宋体" w:cs="Times New Roman"/>
          <w:sz w:val="24"/>
          <w:szCs w:val="24"/>
        </w:rPr>
        <w:t>安徽地方标准：DB34/T 2240-2014《水栀子栽培技术规程》</w:t>
      </w:r>
    </w:p>
    <w:p>
      <w:pPr>
        <w:numPr>
          <w:ilvl w:val="0"/>
          <w:numId w:val="2"/>
        </w:numPr>
        <w:spacing w:line="360" w:lineRule="auto"/>
        <w:ind w:firstLine="540" w:firstLineChars="225"/>
        <w:rPr>
          <w:rFonts w:ascii="Times New Roman" w:hAnsi="Times New Roman" w:eastAsia="宋体" w:cs="Times New Roman"/>
          <w:sz w:val="24"/>
          <w:szCs w:val="24"/>
        </w:rPr>
      </w:pPr>
      <w:r>
        <w:rPr>
          <w:rFonts w:hint="eastAsia" w:ascii="Times New Roman" w:hAnsi="Times New Roman" w:eastAsia="宋体" w:cs="Times New Roman"/>
          <w:sz w:val="24"/>
          <w:szCs w:val="24"/>
        </w:rPr>
        <w:t>福建地方标准：DB35/T 1288-2012《黄栀子果用原料林丰产栽培技术规程》</w:t>
      </w:r>
    </w:p>
    <w:p>
      <w:pPr>
        <w:numPr>
          <w:ilvl w:val="0"/>
          <w:numId w:val="2"/>
        </w:numPr>
        <w:spacing w:line="360" w:lineRule="auto"/>
        <w:ind w:firstLine="540" w:firstLineChars="225"/>
        <w:rPr>
          <w:rFonts w:ascii="Times New Roman" w:hAnsi="Times New Roman" w:eastAsia="宋体" w:cs="Times New Roman"/>
          <w:sz w:val="24"/>
          <w:szCs w:val="24"/>
        </w:rPr>
      </w:pPr>
      <w:r>
        <w:rPr>
          <w:rFonts w:hint="eastAsia" w:ascii="Times New Roman" w:hAnsi="Times New Roman" w:eastAsia="宋体" w:cs="Times New Roman"/>
          <w:sz w:val="24"/>
          <w:szCs w:val="24"/>
        </w:rPr>
        <w:t>江西地方标准：</w:t>
      </w:r>
      <w:r>
        <w:rPr>
          <w:rFonts w:ascii="Times New Roman" w:hAnsi="Times New Roman" w:eastAsia="宋体" w:cs="Times New Roman"/>
          <w:sz w:val="24"/>
          <w:szCs w:val="24"/>
        </w:rPr>
        <w:t>DB36/T 1468-2021</w:t>
      </w:r>
      <w:r>
        <w:rPr>
          <w:rFonts w:hint="eastAsia" w:ascii="Times New Roman" w:hAnsi="Times New Roman" w:eastAsia="宋体" w:cs="Times New Roman"/>
          <w:sz w:val="24"/>
          <w:szCs w:val="24"/>
        </w:rPr>
        <w:t>《地理标志产品 樟树黄栀子》</w:t>
      </w:r>
    </w:p>
    <w:p>
      <w:pPr>
        <w:numPr>
          <w:ilvl w:val="0"/>
          <w:numId w:val="2"/>
        </w:numPr>
        <w:spacing w:line="360" w:lineRule="auto"/>
        <w:ind w:firstLine="540" w:firstLineChars="225"/>
        <w:rPr>
          <w:rFonts w:ascii="Times New Roman" w:hAnsi="Times New Roman" w:eastAsia="宋体" w:cs="Times New Roman"/>
          <w:sz w:val="24"/>
          <w:szCs w:val="24"/>
        </w:rPr>
      </w:pPr>
      <w:r>
        <w:rPr>
          <w:rFonts w:hint="eastAsia" w:ascii="Times New Roman" w:hAnsi="Times New Roman" w:eastAsia="宋体" w:cs="Times New Roman"/>
          <w:sz w:val="24"/>
          <w:szCs w:val="24"/>
        </w:rPr>
        <w:t>重庆</w:t>
      </w:r>
      <w:r>
        <w:rPr>
          <w:rFonts w:ascii="Times New Roman" w:hAnsi="Times New Roman" w:eastAsia="宋体" w:cs="Times New Roman"/>
          <w:sz w:val="24"/>
          <w:szCs w:val="24"/>
        </w:rPr>
        <w:t>地方标准：</w:t>
      </w:r>
      <w:r>
        <w:fldChar w:fldCharType="begin"/>
      </w:r>
      <w:r>
        <w:instrText xml:space="preserve"> HYPERLINK "http://std.samr.gov.cn/db/search/stdDBDetailed?id=DF58A79DA5C6D08DE05397BE0A0A6FB3" \t "http://std.samr.gov.cn/search/_blank" </w:instrText>
      </w:r>
      <w:r>
        <w:fldChar w:fldCharType="separate"/>
      </w:r>
      <w:r>
        <w:rPr>
          <w:rFonts w:ascii="Times New Roman" w:hAnsi="Times New Roman" w:eastAsia="宋体" w:cs="Times New Roman"/>
          <w:sz w:val="24"/>
          <w:szCs w:val="24"/>
        </w:rPr>
        <w:t>DB50/T 1226-2022</w:t>
      </w:r>
      <w:r>
        <w:rPr>
          <w:rFonts w:hint="eastAsia" w:ascii="Times New Roman" w:hAnsi="Times New Roman" w:eastAsia="宋体" w:cs="Times New Roman"/>
          <w:sz w:val="24"/>
          <w:szCs w:val="24"/>
        </w:rPr>
        <w:t>《</w:t>
      </w:r>
      <w:r>
        <w:rPr>
          <w:rFonts w:ascii="Times New Roman" w:hAnsi="Times New Roman" w:eastAsia="宋体" w:cs="Times New Roman"/>
          <w:sz w:val="24"/>
          <w:szCs w:val="24"/>
        </w:rPr>
        <w:t>栀子采收与初加工技术规程</w:t>
      </w:r>
      <w:r>
        <w:rPr>
          <w:rFonts w:ascii="Times New Roman" w:hAnsi="Times New Roman" w:eastAsia="宋体" w:cs="Times New Roman"/>
          <w:sz w:val="24"/>
          <w:szCs w:val="24"/>
        </w:rPr>
        <w:fldChar w:fldCharType="end"/>
      </w:r>
      <w:r>
        <w:rPr>
          <w:rFonts w:hint="eastAsia" w:ascii="Times New Roman" w:hAnsi="Times New Roman" w:eastAsia="宋体" w:cs="Times New Roman"/>
          <w:sz w:val="24"/>
          <w:szCs w:val="24"/>
        </w:rPr>
        <w:t>》</w:t>
      </w:r>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本标准的制定参考了以上涉及</w:t>
      </w:r>
      <w:r>
        <w:rPr>
          <w:rFonts w:hint="eastAsia" w:ascii="Times New Roman" w:hAnsi="Times New Roman" w:eastAsia="宋体" w:cs="Times New Roman"/>
          <w:sz w:val="24"/>
          <w:szCs w:val="24"/>
        </w:rPr>
        <w:t>栀子</w:t>
      </w:r>
      <w:r>
        <w:rPr>
          <w:rFonts w:ascii="Times New Roman" w:hAnsi="Times New Roman" w:eastAsia="宋体" w:cs="Times New Roman"/>
          <w:sz w:val="24"/>
          <w:szCs w:val="24"/>
        </w:rPr>
        <w:t>采收和初加工的地方标准，及《中华人民共和国药典》2020版、《药品生产质量管理规范（2016年修订）》附录—中药饮片的要求，结合市面上加工实践及项目组实验研究结果而定。</w:t>
      </w:r>
    </w:p>
    <w:p>
      <w:pPr>
        <w:spacing w:before="156" w:beforeLines="50" w:after="156" w:afterLines="50" w:line="360" w:lineRule="auto"/>
        <w:ind w:firstLine="602" w:firstLineChars="200"/>
        <w:rPr>
          <w:rFonts w:ascii="Times New Roman" w:hAnsi="Times New Roman" w:eastAsia="宋体" w:cs="Times New Roman"/>
          <w:b/>
          <w:bCs/>
          <w:sz w:val="30"/>
          <w:szCs w:val="30"/>
        </w:rPr>
      </w:pPr>
      <w:bookmarkStart w:id="5" w:name="_Hlk53389089"/>
      <w:r>
        <w:rPr>
          <w:rFonts w:hint="eastAsia" w:ascii="Times New Roman" w:hAnsi="Times New Roman" w:eastAsia="宋体" w:cs="Times New Roman"/>
          <w:b/>
          <w:bCs/>
          <w:sz w:val="30"/>
          <w:szCs w:val="30"/>
        </w:rPr>
        <w:t>七</w:t>
      </w:r>
      <w:r>
        <w:rPr>
          <w:rFonts w:ascii="Times New Roman" w:hAnsi="Times New Roman" w:eastAsia="宋体" w:cs="Times New Roman"/>
          <w:b/>
          <w:bCs/>
          <w:sz w:val="30"/>
          <w:szCs w:val="30"/>
        </w:rPr>
        <w:t>、重大分歧意见的处理经过和依据</w:t>
      </w:r>
    </w:p>
    <w:p>
      <w:pPr>
        <w:spacing w:line="360" w:lineRule="auto"/>
        <w:ind w:firstLine="480" w:firstLineChars="200"/>
        <w:rPr>
          <w:rFonts w:ascii="宋体" w:hAnsi="宋体" w:eastAsia="宋体"/>
          <w:sz w:val="24"/>
          <w:szCs w:val="24"/>
        </w:rPr>
      </w:pPr>
      <w:r>
        <w:rPr>
          <w:rFonts w:ascii="宋体" w:hAnsi="宋体" w:eastAsia="宋体"/>
          <w:sz w:val="24"/>
          <w:szCs w:val="24"/>
        </w:rPr>
        <w:t>本标准在编写过程中没有重大意见分歧。</w:t>
      </w:r>
    </w:p>
    <w:p>
      <w:pPr>
        <w:spacing w:before="156" w:beforeLines="50" w:after="156" w:afterLines="50" w:line="360" w:lineRule="auto"/>
        <w:ind w:firstLine="602" w:firstLineChars="200"/>
        <w:rPr>
          <w:rFonts w:ascii="Times New Roman" w:hAnsi="Times New Roman" w:eastAsia="宋体" w:cs="Times New Roman"/>
          <w:b/>
          <w:bCs/>
          <w:sz w:val="30"/>
          <w:szCs w:val="30"/>
        </w:rPr>
      </w:pPr>
      <w:r>
        <w:rPr>
          <w:rFonts w:hint="eastAsia" w:ascii="Times New Roman" w:hAnsi="Times New Roman" w:eastAsia="宋体" w:cs="Times New Roman"/>
          <w:b/>
          <w:bCs/>
          <w:sz w:val="30"/>
          <w:szCs w:val="30"/>
        </w:rPr>
        <w:t>八</w:t>
      </w:r>
      <w:r>
        <w:rPr>
          <w:rFonts w:ascii="Times New Roman" w:hAnsi="Times New Roman" w:eastAsia="宋体" w:cs="Times New Roman"/>
          <w:b/>
          <w:bCs/>
          <w:sz w:val="30"/>
          <w:szCs w:val="30"/>
        </w:rPr>
        <w:t>、</w:t>
      </w:r>
      <w:r>
        <w:rPr>
          <w:rFonts w:hint="eastAsia" w:ascii="Times New Roman" w:hAnsi="Times New Roman" w:eastAsia="宋体" w:cs="Times New Roman"/>
          <w:b/>
          <w:bCs/>
          <w:sz w:val="30"/>
          <w:szCs w:val="30"/>
        </w:rPr>
        <w:t>作为推荐性标准的建议</w:t>
      </w:r>
    </w:p>
    <w:p>
      <w:pPr>
        <w:spacing w:line="360" w:lineRule="auto"/>
        <w:ind w:firstLine="480" w:firstLineChars="200"/>
        <w:rPr>
          <w:rFonts w:ascii="宋体" w:hAnsi="宋体" w:eastAsia="宋体"/>
          <w:sz w:val="24"/>
          <w:szCs w:val="24"/>
        </w:rPr>
      </w:pPr>
      <w:r>
        <w:rPr>
          <w:rFonts w:hint="eastAsia" w:ascii="宋体" w:hAnsi="宋体" w:eastAsia="宋体"/>
          <w:sz w:val="24"/>
          <w:szCs w:val="24"/>
        </w:rPr>
        <w:t>建议《栀子</w:t>
      </w:r>
      <w:r>
        <w:rPr>
          <w:rFonts w:ascii="宋体" w:hAnsi="宋体" w:eastAsia="宋体"/>
          <w:sz w:val="24"/>
          <w:szCs w:val="24"/>
        </w:rPr>
        <w:t>采收</w:t>
      </w:r>
      <w:r>
        <w:rPr>
          <w:rFonts w:hint="eastAsia" w:ascii="宋体" w:hAnsi="宋体" w:eastAsia="宋体"/>
          <w:sz w:val="24"/>
          <w:szCs w:val="24"/>
        </w:rPr>
        <w:t>与产地</w:t>
      </w:r>
      <w:r>
        <w:rPr>
          <w:rFonts w:ascii="宋体" w:hAnsi="宋体" w:eastAsia="宋体"/>
          <w:sz w:val="24"/>
          <w:szCs w:val="24"/>
        </w:rPr>
        <w:t>初加工技术规范</w:t>
      </w:r>
      <w:r>
        <w:rPr>
          <w:rFonts w:hint="eastAsia" w:ascii="宋体" w:hAnsi="宋体" w:eastAsia="宋体"/>
          <w:sz w:val="24"/>
          <w:szCs w:val="24"/>
        </w:rPr>
        <w:t>》作为推荐性标准发布实施。</w:t>
      </w:r>
    </w:p>
    <w:p>
      <w:pPr>
        <w:spacing w:before="156" w:beforeLines="50" w:after="156" w:afterLines="50" w:line="360" w:lineRule="auto"/>
        <w:ind w:firstLine="602" w:firstLineChars="200"/>
        <w:rPr>
          <w:rFonts w:ascii="Times New Roman" w:hAnsi="Times New Roman" w:eastAsia="宋体" w:cs="Times New Roman"/>
          <w:b/>
          <w:bCs/>
          <w:sz w:val="30"/>
          <w:szCs w:val="30"/>
        </w:rPr>
      </w:pPr>
      <w:r>
        <w:rPr>
          <w:rFonts w:hint="eastAsia" w:ascii="Times New Roman" w:hAnsi="Times New Roman" w:eastAsia="宋体" w:cs="Times New Roman"/>
          <w:b/>
          <w:bCs/>
          <w:sz w:val="30"/>
          <w:szCs w:val="30"/>
        </w:rPr>
        <w:t>九、贯彻标准的措施建议</w:t>
      </w:r>
    </w:p>
    <w:p>
      <w:pPr>
        <w:spacing w:line="360" w:lineRule="auto"/>
        <w:ind w:firstLine="480" w:firstLineChars="200"/>
        <w:rPr>
          <w:rFonts w:ascii="宋体" w:hAnsi="宋体" w:eastAsia="宋体"/>
          <w:sz w:val="24"/>
          <w:szCs w:val="24"/>
        </w:rPr>
      </w:pPr>
      <w:r>
        <w:rPr>
          <w:rFonts w:hint="eastAsia" w:ascii="宋体" w:hAnsi="宋体" w:eastAsia="宋体"/>
          <w:sz w:val="24"/>
          <w:szCs w:val="24"/>
        </w:rPr>
        <w:t>待本标准发布实施后，建议归口单位组织相关栀子生产企业和单位，以及下一级管理单位组织培训，加强标准的宣传推广，定期监督检查和评价。</w:t>
      </w:r>
    </w:p>
    <w:p>
      <w:pPr>
        <w:spacing w:before="156" w:beforeLines="50" w:after="156" w:afterLines="50" w:line="360" w:lineRule="auto"/>
        <w:ind w:firstLine="602" w:firstLineChars="200"/>
        <w:rPr>
          <w:rFonts w:ascii="Times New Roman" w:hAnsi="Times New Roman" w:eastAsia="宋体" w:cs="Times New Roman"/>
          <w:b/>
          <w:bCs/>
          <w:sz w:val="30"/>
          <w:szCs w:val="30"/>
        </w:rPr>
      </w:pPr>
      <w:r>
        <w:rPr>
          <w:rFonts w:hint="eastAsia" w:ascii="Times New Roman" w:hAnsi="Times New Roman" w:eastAsia="宋体" w:cs="Times New Roman"/>
          <w:b/>
          <w:bCs/>
          <w:sz w:val="30"/>
          <w:szCs w:val="30"/>
        </w:rPr>
        <w:t>十</w:t>
      </w:r>
      <w:r>
        <w:rPr>
          <w:rFonts w:ascii="Times New Roman" w:hAnsi="Times New Roman" w:eastAsia="宋体" w:cs="Times New Roman"/>
          <w:b/>
          <w:bCs/>
          <w:sz w:val="30"/>
          <w:szCs w:val="30"/>
        </w:rPr>
        <w:t>、其它应予说明的事项</w:t>
      </w:r>
    </w:p>
    <w:p>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通过本规程的制定及推广应用，使湖南省栀子采收与初加工生产有规可循，确保栀子药材的质量，为栀子规范化生产提供技术支撑，其经济、社会和生态效益显著；促进栀子产业健康发展。</w:t>
      </w:r>
    </w:p>
    <w:p>
      <w:pPr>
        <w:spacing w:line="360" w:lineRule="auto"/>
        <w:rPr>
          <w:rFonts w:ascii="Times New Roman" w:hAnsi="Times New Roman" w:eastAsia="宋体" w:cs="Times New Roman"/>
          <w:b/>
          <w:bCs/>
          <w:sz w:val="28"/>
          <w:szCs w:val="28"/>
        </w:rPr>
      </w:pPr>
      <w:r>
        <w:rPr>
          <w:rFonts w:hint="eastAsia" w:ascii="Times New Roman" w:hAnsi="Times New Roman" w:eastAsia="宋体" w:cs="Times New Roman"/>
          <w:b/>
          <w:bCs/>
          <w:sz w:val="28"/>
          <w:szCs w:val="28"/>
        </w:rPr>
        <w:t>参考文献</w:t>
      </w:r>
      <w:bookmarkEnd w:id="5"/>
    </w:p>
    <w:p>
      <w:pPr>
        <w:numPr>
          <w:ilvl w:val="0"/>
          <w:numId w:val="3"/>
        </w:numPr>
        <w:spacing w:line="360" w:lineRule="auto"/>
        <w:rPr>
          <w:rFonts w:ascii="Times New Roman" w:hAnsi="Times New Roman" w:eastAsia="宋体" w:cs="Times New Roman"/>
          <w:szCs w:val="21"/>
          <w:shd w:val="clear" w:color="auto" w:fill="FFFFFF"/>
        </w:rPr>
      </w:pPr>
      <w:r>
        <w:rPr>
          <w:rFonts w:hint="eastAsia" w:ascii="Times New Roman" w:hAnsi="Times New Roman" w:eastAsia="宋体" w:cs="Times New Roman"/>
          <w:szCs w:val="21"/>
          <w:shd w:val="clear" w:color="auto" w:fill="FFFFFF"/>
        </w:rPr>
        <w:t>罗静玲，张湘龙，曾建国，谢红旗，陆英.不同成熟度和产地初加工方法对栀子中4种活性成分含量的影响[J].食品工业科技，2021，42(13)：241-246.</w:t>
      </w:r>
    </w:p>
    <w:p>
      <w:pPr>
        <w:numPr>
          <w:ilvl w:val="0"/>
          <w:numId w:val="3"/>
        </w:numPr>
        <w:spacing w:line="360" w:lineRule="auto"/>
        <w:rPr>
          <w:rFonts w:ascii="Times New Roman" w:hAnsi="Times New Roman" w:eastAsia="宋体" w:cs="Times New Roman"/>
          <w:szCs w:val="21"/>
          <w:shd w:val="clear" w:color="auto" w:fill="FFFFFF"/>
        </w:rPr>
      </w:pPr>
      <w:r>
        <w:rPr>
          <w:rFonts w:hint="eastAsia" w:ascii="Times New Roman" w:hAnsi="Times New Roman" w:eastAsia="宋体" w:cs="Times New Roman"/>
          <w:szCs w:val="21"/>
          <w:shd w:val="clear" w:color="auto" w:fill="FFFFFF"/>
        </w:rPr>
        <w:t>罗家敏，高雯，李萍.指纹图谱结合一测多评法的栀子质量控制方法研究[J].中草药，2022，53(11):3480-3486.</w:t>
      </w:r>
    </w:p>
    <w:p>
      <w:pPr>
        <w:numPr>
          <w:ilvl w:val="0"/>
          <w:numId w:val="3"/>
        </w:numPr>
        <w:spacing w:line="360" w:lineRule="auto"/>
        <w:rPr>
          <w:rFonts w:ascii="Times New Roman" w:hAnsi="Times New Roman" w:eastAsia="宋体" w:cs="Times New Roman"/>
          <w:szCs w:val="21"/>
          <w:shd w:val="clear" w:color="auto" w:fill="FFFFFF"/>
        </w:rPr>
      </w:pPr>
      <w:r>
        <w:rPr>
          <w:rFonts w:hint="eastAsia" w:ascii="Times New Roman" w:hAnsi="Times New Roman" w:eastAsia="宋体" w:cs="Times New Roman"/>
          <w:szCs w:val="21"/>
          <w:shd w:val="clear" w:color="auto" w:fill="FFFFFF"/>
        </w:rPr>
        <w:t>代亚萍，邓凯波，周伟，李积华，曹玉坡.栀子果功能成分及干燥技术研究进展[J].食品工业科技，2019，40(21):300-306.</w:t>
      </w:r>
    </w:p>
    <w:p>
      <w:pPr>
        <w:numPr>
          <w:ilvl w:val="0"/>
          <w:numId w:val="3"/>
        </w:numPr>
        <w:spacing w:line="360" w:lineRule="auto"/>
        <w:rPr>
          <w:rFonts w:ascii="Times New Roman" w:hAnsi="Times New Roman" w:eastAsia="宋体" w:cs="Times New Roman"/>
          <w:szCs w:val="21"/>
          <w:shd w:val="clear" w:color="auto" w:fill="FFFFFF"/>
        </w:rPr>
      </w:pPr>
      <w:r>
        <w:rPr>
          <w:rFonts w:hint="eastAsia" w:ascii="Times New Roman" w:hAnsi="Times New Roman" w:eastAsia="宋体" w:cs="Times New Roman"/>
          <w:szCs w:val="21"/>
          <w:shd w:val="clear" w:color="auto" w:fill="FFFFFF"/>
        </w:rPr>
        <w:t>梁献葵，王艳慧，雷敬卫，谢彩侠，唐维维，杜婷婷.不同产地加工炮制方法对栀子质量的影响[J].中国中药杂志，2018，43(16):3285-3290.</w:t>
      </w:r>
    </w:p>
    <w:p>
      <w:pPr>
        <w:numPr>
          <w:ilvl w:val="0"/>
          <w:numId w:val="3"/>
        </w:numPr>
        <w:spacing w:line="360" w:lineRule="auto"/>
        <w:rPr>
          <w:rFonts w:ascii="Times New Roman" w:hAnsi="Times New Roman" w:eastAsia="宋体" w:cs="Times New Roman"/>
          <w:szCs w:val="21"/>
          <w:shd w:val="clear" w:color="auto" w:fill="FFFFFF"/>
        </w:rPr>
      </w:pPr>
      <w:r>
        <w:rPr>
          <w:rFonts w:hint="eastAsia" w:ascii="Times New Roman" w:hAnsi="Times New Roman" w:eastAsia="宋体" w:cs="Times New Roman"/>
          <w:szCs w:val="21"/>
          <w:shd w:val="clear" w:color="auto" w:fill="FFFFFF"/>
        </w:rPr>
        <w:t>周国梁, 汪超, 刘汉珍, 等.不同炮制法对栀子苷含量的影响[J]. 中兽医医药杂志，2009，28（1）：45−46.</w:t>
      </w:r>
    </w:p>
    <w:p>
      <w:pPr>
        <w:numPr>
          <w:ilvl w:val="0"/>
          <w:numId w:val="3"/>
        </w:numPr>
        <w:spacing w:line="360" w:lineRule="auto"/>
        <w:rPr>
          <w:rFonts w:ascii="Times New Roman" w:hAnsi="Times New Roman" w:eastAsia="宋体" w:cs="Times New Roman"/>
          <w:szCs w:val="21"/>
          <w:shd w:val="clear" w:color="auto" w:fill="FFFFFF"/>
        </w:rPr>
      </w:pPr>
      <w:r>
        <w:rPr>
          <w:rFonts w:hint="eastAsia" w:ascii="Times New Roman" w:hAnsi="Times New Roman" w:eastAsia="宋体" w:cs="Times New Roman"/>
          <w:szCs w:val="21"/>
          <w:shd w:val="clear" w:color="auto" w:fill="FFFFFF"/>
        </w:rPr>
        <w:t>梁献葵, 王艳慧, 雷敬卫, 等. 不同产地加工炮制方法对栀子质量的影响[J]. 中国中药杂志，2018，43（16）：3285−3290.</w:t>
      </w:r>
    </w:p>
    <w:p>
      <w:pPr>
        <w:numPr>
          <w:ilvl w:val="0"/>
          <w:numId w:val="3"/>
        </w:numPr>
        <w:spacing w:line="360" w:lineRule="auto"/>
        <w:rPr>
          <w:rFonts w:ascii="Times New Roman" w:hAnsi="Times New Roman" w:eastAsia="宋体" w:cs="Times New Roman"/>
          <w:szCs w:val="21"/>
          <w:shd w:val="clear" w:color="auto" w:fill="FFFFFF"/>
        </w:rPr>
      </w:pPr>
      <w:r>
        <w:rPr>
          <w:rFonts w:hint="eastAsia" w:ascii="Times New Roman" w:hAnsi="Times New Roman" w:eastAsia="宋体" w:cs="Times New Roman"/>
          <w:szCs w:val="21"/>
          <w:shd w:val="clear" w:color="auto" w:fill="FFFFFF"/>
        </w:rPr>
        <w:t>潘媛, 谭均, 陈大霞, 等. 不同杀青方式对栀子有效成分及体外抗氧化活性的影响[J]. 天然产物研究与开发，2018，30（9）：1484−1488, 1639.</w:t>
      </w:r>
    </w:p>
    <w:p>
      <w:pPr>
        <w:spacing w:line="360" w:lineRule="auto"/>
        <w:ind w:right="300" w:firstLine="240" w:firstLineChars="100"/>
        <w:jc w:val="right"/>
        <w:rPr>
          <w:rFonts w:ascii="Times New Roman" w:hAnsi="Times New Roman" w:eastAsia="宋体" w:cs="Times New Roman"/>
          <w:sz w:val="24"/>
          <w:szCs w:val="24"/>
        </w:rPr>
      </w:pPr>
    </w:p>
    <w:p>
      <w:pPr>
        <w:spacing w:line="360" w:lineRule="auto"/>
        <w:ind w:right="300" w:firstLine="240" w:firstLineChars="100"/>
        <w:jc w:val="right"/>
        <w:rPr>
          <w:rFonts w:ascii="Times New Roman" w:hAnsi="Times New Roman" w:eastAsia="宋体" w:cs="Times New Roman"/>
          <w:sz w:val="24"/>
          <w:szCs w:val="24"/>
        </w:rPr>
      </w:pPr>
    </w:p>
    <w:p>
      <w:pPr>
        <w:spacing w:line="360" w:lineRule="auto"/>
        <w:ind w:right="300" w:firstLine="240" w:firstLineChars="100"/>
        <w:jc w:val="right"/>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rPr>
        <w:t>栀子</w:t>
      </w:r>
      <w:r>
        <w:rPr>
          <w:rFonts w:ascii="Times New Roman" w:hAnsi="Times New Roman" w:eastAsia="宋体" w:cs="Times New Roman"/>
          <w:sz w:val="24"/>
          <w:szCs w:val="24"/>
        </w:rPr>
        <w:t>采收</w:t>
      </w:r>
      <w:r>
        <w:rPr>
          <w:rFonts w:hint="eastAsia" w:ascii="Times New Roman" w:hAnsi="Times New Roman" w:eastAsia="宋体" w:cs="Times New Roman"/>
          <w:sz w:val="24"/>
          <w:szCs w:val="24"/>
        </w:rPr>
        <w:t>与</w:t>
      </w:r>
      <w:r>
        <w:rPr>
          <w:rFonts w:ascii="Times New Roman" w:hAnsi="Times New Roman" w:eastAsia="宋体" w:cs="Times New Roman"/>
          <w:sz w:val="24"/>
          <w:szCs w:val="24"/>
        </w:rPr>
        <w:t>初加工技术</w:t>
      </w:r>
      <w:r>
        <w:rPr>
          <w:rFonts w:hint="eastAsia" w:ascii="Times New Roman" w:hAnsi="Times New Roman" w:eastAsia="宋体" w:cs="Times New Roman"/>
          <w:sz w:val="24"/>
          <w:szCs w:val="24"/>
        </w:rPr>
        <w:t>规程</w:t>
      </w:r>
      <w:r>
        <w:rPr>
          <w:rFonts w:ascii="Times New Roman" w:hAnsi="Times New Roman" w:eastAsia="宋体" w:cs="Times New Roman"/>
          <w:sz w:val="24"/>
          <w:szCs w:val="24"/>
        </w:rPr>
        <w:t>》编制小组</w:t>
      </w:r>
    </w:p>
    <w:p>
      <w:pPr>
        <w:spacing w:line="360" w:lineRule="auto"/>
        <w:ind w:right="300" w:firstLine="210" w:firstLineChars="100"/>
        <w:jc w:val="right"/>
        <w:rPr>
          <w:rFonts w:ascii="Times New Roman" w:hAnsi="Times New Roman" w:eastAsia="宋体" w:cs="Times New Roman"/>
        </w:rPr>
      </w:pPr>
      <w:r>
        <w:rPr>
          <w:rFonts w:ascii="Times New Roman" w:hAnsi="Times New Roman" w:eastAsia="宋体" w:cs="Times New Roman"/>
          <w:b/>
          <w:bCs/>
          <w:szCs w:val="21"/>
        </w:rPr>
        <w:t>202</w:t>
      </w:r>
      <w:r>
        <w:rPr>
          <w:rFonts w:hint="eastAsia" w:ascii="Times New Roman" w:hAnsi="Times New Roman" w:eastAsia="宋体" w:cs="Times New Roman"/>
          <w:b/>
          <w:bCs/>
          <w:szCs w:val="21"/>
        </w:rPr>
        <w:t>2</w:t>
      </w:r>
      <w:r>
        <w:rPr>
          <w:rFonts w:ascii="Times New Roman" w:hAnsi="Times New Roman" w:eastAsia="宋体" w:cs="Times New Roman"/>
          <w:b/>
          <w:bCs/>
          <w:szCs w:val="21"/>
        </w:rPr>
        <w:t>年</w:t>
      </w:r>
      <w:r>
        <w:rPr>
          <w:rFonts w:hint="eastAsia" w:ascii="Times New Roman" w:hAnsi="Times New Roman" w:eastAsia="宋体" w:cs="Times New Roman"/>
          <w:b/>
          <w:bCs/>
          <w:szCs w:val="21"/>
        </w:rPr>
        <w:t>9</w:t>
      </w:r>
      <w:r>
        <w:rPr>
          <w:rFonts w:ascii="Times New Roman" w:hAnsi="Times New Roman" w:eastAsia="宋体" w:cs="Times New Roman"/>
          <w:b/>
          <w:bCs/>
          <w:szCs w:val="21"/>
        </w:rPr>
        <w:t>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仿宋"/>
    <w:panose1 w:val="02010600030101010101"/>
    <w:charset w:val="86"/>
    <w:family w:val="auto"/>
    <w:pitch w:val="default"/>
    <w:sig w:usb0="00000000" w:usb1="00000000" w:usb2="00000016" w:usb3="00000000" w:csb0="0004000F" w:csb1="00000000"/>
  </w:font>
  <w:font w:name="E-BZ+ZHIG8a-1">
    <w:altName w:val="汉仪仿宋S"/>
    <w:panose1 w:val="00000000000000000000"/>
    <w:charset w:val="00"/>
    <w:family w:val="roman"/>
    <w:pitch w:val="default"/>
    <w:sig w:usb0="00000000" w:usb1="00000000" w:usb2="00000000" w:usb3="00000000" w:csb0="00000000" w:csb1="00000000"/>
  </w:font>
  <w:font w:name="方正书宋_GBK">
    <w:panose1 w:val="02000000000000000000"/>
    <w:charset w:val="86"/>
    <w:family w:val="auto"/>
    <w:pitch w:val="default"/>
    <w:sig w:usb0="00000001" w:usb1="08000000" w:usb2="00000000" w:usb3="00000000" w:csb0="00040000" w:csb1="00000000"/>
  </w:font>
  <w:font w:name="等线">
    <w:altName w:val="汉仪仿宋S"/>
    <w:panose1 w:val="00000000000000000000"/>
    <w:charset w:val="00"/>
    <w:family w:val="auto"/>
    <w:pitch w:val="default"/>
    <w:sig w:usb0="00000000" w:usb1="00000000" w:usb2="00000000" w:usb3="00000000" w:csb0="00000000" w:csb1="00000000"/>
  </w:font>
  <w:font w:name="汉仪仿宋S">
    <w:panose1 w:val="00020600040101000101"/>
    <w:charset w:val="86"/>
    <w:family w:val="auto"/>
    <w:pitch w:val="default"/>
    <w:sig w:usb0="A00002BF" w:usb1="38CF7CFA" w:usb2="00000016" w:usb3="00000000" w:csb0="0004009F" w:csb1="00000000"/>
  </w:font>
  <w:font w:name="Nimbus Roman No9 L">
    <w:panose1 w:val="00000000000000000000"/>
    <w:charset w:val="00"/>
    <w:family w:val="auto"/>
    <w:pitch w:val="default"/>
    <w:sig w:usb0="00000000" w:usb1="00000000" w:usb2="00000000" w:usb3="00000000" w:csb0="00000000" w:csb1="00000000"/>
  </w:font>
  <w:font w:name="Droid Sans Fallback">
    <w:panose1 w:val="020B0502000000000001"/>
    <w:charset w:val="86"/>
    <w:family w:val="auto"/>
    <w:pitch w:val="default"/>
    <w:sig w:usb0="910002FF" w:usb1="2BDFFCFB" w:usb2="00000036" w:usb3="00000000" w:csb0="203F01FF" w:csb1="D7FF0000"/>
  </w:font>
  <w:font w:name="方正宋体S-超大字符集">
    <w:panose1 w:val="02000000000000000000"/>
    <w:charset w:val="86"/>
    <w:family w:val="auto"/>
    <w:pitch w:val="default"/>
    <w:sig w:usb0="00000001" w:usb1="0800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AF795E"/>
    <w:multiLevelType w:val="singleLevel"/>
    <w:tmpl w:val="AFAF795E"/>
    <w:lvl w:ilvl="0" w:tentative="0">
      <w:start w:val="1"/>
      <w:numFmt w:val="decimal"/>
      <w:suff w:val="nothing"/>
      <w:lvlText w:val="（%1）"/>
      <w:lvlJc w:val="left"/>
    </w:lvl>
  </w:abstractNum>
  <w:abstractNum w:abstractNumId="1">
    <w:nsid w:val="FB7054E4"/>
    <w:multiLevelType w:val="singleLevel"/>
    <w:tmpl w:val="FB7054E4"/>
    <w:lvl w:ilvl="0" w:tentative="0">
      <w:start w:val="1"/>
      <w:numFmt w:val="decimal"/>
      <w:lvlText w:val="[%1]"/>
      <w:lvlJc w:val="left"/>
      <w:pPr>
        <w:tabs>
          <w:tab w:val="left" w:pos="312"/>
        </w:tabs>
      </w:pPr>
    </w:lvl>
  </w:abstractNum>
  <w:abstractNum w:abstractNumId="2">
    <w:nsid w:val="6CEA2025"/>
    <w:multiLevelType w:val="multilevel"/>
    <w:tmpl w:val="6CEA2025"/>
    <w:lvl w:ilvl="0" w:tentative="0">
      <w:start w:val="1"/>
      <w:numFmt w:val="none"/>
      <w:pStyle w:val="26"/>
      <w:suff w:val="nothing"/>
      <w:lvlText w:val="%1"/>
      <w:lvlJc w:val="left"/>
      <w:pPr>
        <w:ind w:left="0" w:firstLine="0"/>
      </w:pPr>
      <w:rPr>
        <w:rFonts w:hint="eastAsia"/>
      </w:rPr>
    </w:lvl>
    <w:lvl w:ilvl="1" w:tentative="0">
      <w:start w:val="1"/>
      <w:numFmt w:val="decimal"/>
      <w:pStyle w:val="24"/>
      <w:suff w:val="nothing"/>
      <w:lvlText w:val="%1%2　"/>
      <w:lvlJc w:val="left"/>
      <w:pPr>
        <w:ind w:left="0" w:firstLine="0"/>
      </w:pPr>
      <w:rPr>
        <w:rFonts w:hint="eastAsia" w:ascii="黑体" w:eastAsia="黑体"/>
        <w:b w:val="0"/>
        <w:i w:val="0"/>
        <w:sz w:val="21"/>
      </w:rPr>
    </w:lvl>
    <w:lvl w:ilvl="2" w:tentative="0">
      <w:start w:val="1"/>
      <w:numFmt w:val="decimal"/>
      <w:pStyle w:val="2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20"/>
      <w:suff w:val="nothing"/>
      <w:lvlText w:val="%1%2.%3.%4　"/>
      <w:lvlJc w:val="left"/>
      <w:pPr>
        <w:ind w:left="1135" w:firstLine="0"/>
      </w:pPr>
      <w:rPr>
        <w:rFonts w:hint="eastAsia" w:ascii="黑体" w:eastAsia="黑体"/>
        <w:b w:val="0"/>
        <w:i w:val="0"/>
        <w:sz w:val="21"/>
      </w:rPr>
    </w:lvl>
    <w:lvl w:ilvl="4" w:tentative="0">
      <w:start w:val="1"/>
      <w:numFmt w:val="decimal"/>
      <w:pStyle w:val="21"/>
      <w:suff w:val="nothing"/>
      <w:lvlText w:val="%1%2.%3.%4.%5　"/>
      <w:lvlJc w:val="left"/>
      <w:pPr>
        <w:ind w:left="0" w:firstLine="0"/>
      </w:pPr>
      <w:rPr>
        <w:rFonts w:hint="eastAsia" w:ascii="黑体" w:eastAsia="黑体"/>
        <w:b w:val="0"/>
        <w:i w:val="0"/>
        <w:sz w:val="21"/>
      </w:rPr>
    </w:lvl>
    <w:lvl w:ilvl="5" w:tentative="0">
      <w:start w:val="1"/>
      <w:numFmt w:val="decimal"/>
      <w:pStyle w:val="22"/>
      <w:suff w:val="nothing"/>
      <w:lvlText w:val="%1%2.%3.%4.%5.%6　"/>
      <w:lvlJc w:val="left"/>
      <w:pPr>
        <w:ind w:left="0" w:firstLine="0"/>
      </w:pPr>
      <w:rPr>
        <w:rFonts w:hint="eastAsia" w:ascii="黑体" w:eastAsia="黑体"/>
        <w:b w:val="0"/>
        <w:i w:val="0"/>
        <w:sz w:val="21"/>
      </w:rPr>
    </w:lvl>
    <w:lvl w:ilvl="6" w:tentative="0">
      <w:start w:val="1"/>
      <w:numFmt w:val="decimal"/>
      <w:pStyle w:val="2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true"/>
  <w:bordersDoNotSurroundHeader w:val="true"/>
  <w:bordersDoNotSurroundFooter w:val="true"/>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3YmIyMTEzN2Q2MTY2ZDgzNGZmN2Y2ODU0NWU3MTMifQ=="/>
  </w:docVars>
  <w:rsids>
    <w:rsidRoot w:val="00712B41"/>
    <w:rsid w:val="00004E17"/>
    <w:rsid w:val="00027FE7"/>
    <w:rsid w:val="00033D0A"/>
    <w:rsid w:val="00051740"/>
    <w:rsid w:val="0005466F"/>
    <w:rsid w:val="00061FED"/>
    <w:rsid w:val="00093551"/>
    <w:rsid w:val="000F02C1"/>
    <w:rsid w:val="001A26AB"/>
    <w:rsid w:val="001C6334"/>
    <w:rsid w:val="001E31A9"/>
    <w:rsid w:val="00232164"/>
    <w:rsid w:val="00260510"/>
    <w:rsid w:val="0026081A"/>
    <w:rsid w:val="00280E78"/>
    <w:rsid w:val="00293025"/>
    <w:rsid w:val="002B2326"/>
    <w:rsid w:val="002C7D49"/>
    <w:rsid w:val="002D3416"/>
    <w:rsid w:val="002D68D6"/>
    <w:rsid w:val="002D6F15"/>
    <w:rsid w:val="002E3025"/>
    <w:rsid w:val="00340E10"/>
    <w:rsid w:val="003458EA"/>
    <w:rsid w:val="00356EF8"/>
    <w:rsid w:val="003A081C"/>
    <w:rsid w:val="003A6332"/>
    <w:rsid w:val="003D1776"/>
    <w:rsid w:val="003F50FA"/>
    <w:rsid w:val="00416D4F"/>
    <w:rsid w:val="0044049F"/>
    <w:rsid w:val="004442E0"/>
    <w:rsid w:val="00454655"/>
    <w:rsid w:val="004720A2"/>
    <w:rsid w:val="004A1DDE"/>
    <w:rsid w:val="004A5CEA"/>
    <w:rsid w:val="004B2180"/>
    <w:rsid w:val="004B7EDA"/>
    <w:rsid w:val="004C7DB2"/>
    <w:rsid w:val="004E0F6F"/>
    <w:rsid w:val="00507D20"/>
    <w:rsid w:val="005209EE"/>
    <w:rsid w:val="00521A7F"/>
    <w:rsid w:val="00524E68"/>
    <w:rsid w:val="0052597E"/>
    <w:rsid w:val="00551398"/>
    <w:rsid w:val="00564F07"/>
    <w:rsid w:val="00571AF2"/>
    <w:rsid w:val="00600E8C"/>
    <w:rsid w:val="006444EA"/>
    <w:rsid w:val="00655758"/>
    <w:rsid w:val="0066342E"/>
    <w:rsid w:val="006A4667"/>
    <w:rsid w:val="006A5A68"/>
    <w:rsid w:val="006D4343"/>
    <w:rsid w:val="006D4C63"/>
    <w:rsid w:val="006F4707"/>
    <w:rsid w:val="00712B41"/>
    <w:rsid w:val="007142AC"/>
    <w:rsid w:val="00743828"/>
    <w:rsid w:val="00781867"/>
    <w:rsid w:val="00782A11"/>
    <w:rsid w:val="007A2855"/>
    <w:rsid w:val="007F491C"/>
    <w:rsid w:val="00802B61"/>
    <w:rsid w:val="00810BE7"/>
    <w:rsid w:val="00825E05"/>
    <w:rsid w:val="00846C2E"/>
    <w:rsid w:val="0085179D"/>
    <w:rsid w:val="008961B2"/>
    <w:rsid w:val="008978F8"/>
    <w:rsid w:val="008F65B4"/>
    <w:rsid w:val="00906ECD"/>
    <w:rsid w:val="00937D4C"/>
    <w:rsid w:val="009413BA"/>
    <w:rsid w:val="00957C64"/>
    <w:rsid w:val="009677A5"/>
    <w:rsid w:val="009F0E3D"/>
    <w:rsid w:val="009F505C"/>
    <w:rsid w:val="00A0349A"/>
    <w:rsid w:val="00A4324C"/>
    <w:rsid w:val="00AA0FA3"/>
    <w:rsid w:val="00AB2213"/>
    <w:rsid w:val="00AE4057"/>
    <w:rsid w:val="00B05F6E"/>
    <w:rsid w:val="00B151FF"/>
    <w:rsid w:val="00B3742B"/>
    <w:rsid w:val="00C04857"/>
    <w:rsid w:val="00C1363D"/>
    <w:rsid w:val="00C14648"/>
    <w:rsid w:val="00C60431"/>
    <w:rsid w:val="00C6044E"/>
    <w:rsid w:val="00C628DC"/>
    <w:rsid w:val="00C6538E"/>
    <w:rsid w:val="00C67CE4"/>
    <w:rsid w:val="00C92E2E"/>
    <w:rsid w:val="00CD2655"/>
    <w:rsid w:val="00CE64D0"/>
    <w:rsid w:val="00D27E57"/>
    <w:rsid w:val="00D544B6"/>
    <w:rsid w:val="00D62879"/>
    <w:rsid w:val="00D94726"/>
    <w:rsid w:val="00D95563"/>
    <w:rsid w:val="00DE098B"/>
    <w:rsid w:val="00DE1BAE"/>
    <w:rsid w:val="00DE4694"/>
    <w:rsid w:val="00E00853"/>
    <w:rsid w:val="00E11557"/>
    <w:rsid w:val="00E2776F"/>
    <w:rsid w:val="00E511D6"/>
    <w:rsid w:val="00E71DE0"/>
    <w:rsid w:val="00EB720D"/>
    <w:rsid w:val="00EB79AF"/>
    <w:rsid w:val="00ED1D56"/>
    <w:rsid w:val="00EE6830"/>
    <w:rsid w:val="00EF1694"/>
    <w:rsid w:val="00F11EC3"/>
    <w:rsid w:val="00F62448"/>
    <w:rsid w:val="00F64A30"/>
    <w:rsid w:val="00F67D89"/>
    <w:rsid w:val="00F84912"/>
    <w:rsid w:val="00FB2123"/>
    <w:rsid w:val="060E2A38"/>
    <w:rsid w:val="0D856DED"/>
    <w:rsid w:val="10355B8C"/>
    <w:rsid w:val="14EB3540"/>
    <w:rsid w:val="16FD7929"/>
    <w:rsid w:val="1E222CBC"/>
    <w:rsid w:val="1E2E1605"/>
    <w:rsid w:val="25395402"/>
    <w:rsid w:val="2683266F"/>
    <w:rsid w:val="27A21895"/>
    <w:rsid w:val="30234B0A"/>
    <w:rsid w:val="342D7097"/>
    <w:rsid w:val="346D5B20"/>
    <w:rsid w:val="36854DC8"/>
    <w:rsid w:val="37353B9F"/>
    <w:rsid w:val="377F55B2"/>
    <w:rsid w:val="38373D9A"/>
    <w:rsid w:val="397843E3"/>
    <w:rsid w:val="398E7EBA"/>
    <w:rsid w:val="3A1B1F57"/>
    <w:rsid w:val="3A705780"/>
    <w:rsid w:val="3B47067B"/>
    <w:rsid w:val="3DA97B89"/>
    <w:rsid w:val="3EE12AD6"/>
    <w:rsid w:val="3F0A0536"/>
    <w:rsid w:val="4BCC137D"/>
    <w:rsid w:val="4DC3652E"/>
    <w:rsid w:val="50883BBB"/>
    <w:rsid w:val="56066EC4"/>
    <w:rsid w:val="585C5A5E"/>
    <w:rsid w:val="599941F6"/>
    <w:rsid w:val="5B74748A"/>
    <w:rsid w:val="6E02675E"/>
    <w:rsid w:val="7606315F"/>
    <w:rsid w:val="77AC7F40"/>
    <w:rsid w:val="78E10912"/>
    <w:rsid w:val="79F26AB3"/>
    <w:rsid w:val="7A724E05"/>
    <w:rsid w:val="7D1B73F3"/>
    <w:rsid w:val="CEDD9430"/>
    <w:rsid w:val="FBFF932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8"/>
    <w:qFormat/>
    <w:uiPriority w:val="0"/>
    <w:rPr>
      <w:rFonts w:ascii="Times New Roman" w:hAnsi="Times New Roman" w:cs="Times New Roman"/>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character" w:customStyle="1" w:styleId="10">
    <w:name w:val="段 Char"/>
    <w:basedOn w:val="7"/>
    <w:link w:val="11"/>
    <w:qFormat/>
    <w:uiPriority w:val="0"/>
    <w:rPr>
      <w:rFonts w:ascii="宋体" w:eastAsia="宋体"/>
    </w:rPr>
  </w:style>
  <w:style w:type="paragraph" w:customStyle="1" w:styleId="11">
    <w:name w:val="段"/>
    <w:link w:val="10"/>
    <w:qFormat/>
    <w:uiPriority w:val="0"/>
    <w:pPr>
      <w:tabs>
        <w:tab w:val="center" w:pos="4201"/>
        <w:tab w:val="right" w:leader="dot" w:pos="9298"/>
      </w:tabs>
      <w:autoSpaceDE w:val="0"/>
      <w:autoSpaceDN w:val="0"/>
      <w:ind w:firstLine="420" w:firstLineChars="200"/>
      <w:jc w:val="both"/>
    </w:pPr>
    <w:rPr>
      <w:rFonts w:ascii="宋体" w:eastAsia="宋体" w:hAnsiTheme="minorHAnsi" w:cstheme="minorBidi"/>
      <w:kern w:val="2"/>
      <w:sz w:val="21"/>
      <w:szCs w:val="22"/>
      <w:lang w:val="en-US" w:eastAsia="zh-CN" w:bidi="ar-SA"/>
    </w:rPr>
  </w:style>
  <w:style w:type="character" w:customStyle="1" w:styleId="12">
    <w:name w:val="fontstyle01"/>
    <w:basedOn w:val="7"/>
    <w:qFormat/>
    <w:uiPriority w:val="0"/>
    <w:rPr>
      <w:rFonts w:hint="default" w:ascii="E-BZ+ZHIG8a-1" w:hAnsi="E-BZ+ZHIG8a-1"/>
      <w:color w:val="000000"/>
      <w:sz w:val="16"/>
      <w:szCs w:val="16"/>
    </w:rPr>
  </w:style>
  <w:style w:type="table" w:customStyle="1" w:styleId="13">
    <w:name w:val="Table Normal"/>
    <w:semiHidden/>
    <w:unhideWhenUsed/>
    <w:qFormat/>
    <w:uiPriority w:val="2"/>
    <w:pPr>
      <w:widowControl w:val="0"/>
      <w:autoSpaceDE w:val="0"/>
      <w:autoSpaceDN w:val="0"/>
    </w:pPr>
    <w:rPr>
      <w:sz w:val="22"/>
      <w:lang w:eastAsia="en-US"/>
    </w:rPr>
    <w:tblPr>
      <w:tblCellMar>
        <w:top w:w="0" w:type="dxa"/>
        <w:left w:w="0" w:type="dxa"/>
        <w:bottom w:w="0" w:type="dxa"/>
        <w:right w:w="0" w:type="dxa"/>
      </w:tblCellMar>
    </w:tblPr>
  </w:style>
  <w:style w:type="table" w:customStyle="1" w:styleId="14">
    <w:name w:val="Table Normal1"/>
    <w:semiHidden/>
    <w:unhideWhenUsed/>
    <w:qFormat/>
    <w:uiPriority w:val="2"/>
    <w:pPr>
      <w:widowControl w:val="0"/>
      <w:autoSpaceDE w:val="0"/>
      <w:autoSpaceDN w:val="0"/>
    </w:pPr>
    <w:rPr>
      <w:sz w:val="22"/>
      <w:lang w:eastAsia="en-US"/>
    </w:rPr>
    <w:tblPr>
      <w:tblCellMar>
        <w:top w:w="0" w:type="dxa"/>
        <w:left w:w="0" w:type="dxa"/>
        <w:bottom w:w="0" w:type="dxa"/>
        <w:right w:w="0" w:type="dxa"/>
      </w:tblCellMar>
    </w:tblPr>
  </w:style>
  <w:style w:type="paragraph" w:customStyle="1" w:styleId="15">
    <w:name w:val="Table Paragraph"/>
    <w:basedOn w:val="1"/>
    <w:qFormat/>
    <w:uiPriority w:val="1"/>
    <w:pPr>
      <w:autoSpaceDE w:val="0"/>
      <w:autoSpaceDN w:val="0"/>
      <w:jc w:val="center"/>
    </w:pPr>
    <w:rPr>
      <w:rFonts w:ascii="宋体" w:hAnsi="宋体" w:eastAsia="宋体" w:cs="宋体"/>
      <w:kern w:val="0"/>
      <w:sz w:val="22"/>
      <w:lang w:eastAsia="en-US"/>
    </w:rPr>
  </w:style>
  <w:style w:type="paragraph" w:customStyle="1" w:styleId="16">
    <w:name w:val="Other|1"/>
    <w:basedOn w:val="1"/>
    <w:qFormat/>
    <w:uiPriority w:val="0"/>
    <w:pPr>
      <w:spacing w:line="360" w:lineRule="auto"/>
      <w:ind w:firstLine="400"/>
    </w:pPr>
    <w:rPr>
      <w:rFonts w:ascii="宋体" w:hAnsi="宋体" w:eastAsia="宋体" w:cs="宋体"/>
      <w:sz w:val="18"/>
      <w:szCs w:val="18"/>
      <w:lang w:val="zh-TW" w:eastAsia="zh-TW" w:bidi="zh-TW"/>
    </w:rPr>
  </w:style>
  <w:style w:type="paragraph" w:customStyle="1" w:styleId="17">
    <w:name w:val="Body text|1"/>
    <w:basedOn w:val="1"/>
    <w:qFormat/>
    <w:uiPriority w:val="0"/>
    <w:pPr>
      <w:spacing w:line="360" w:lineRule="auto"/>
      <w:ind w:firstLine="400"/>
    </w:pPr>
    <w:rPr>
      <w:rFonts w:ascii="宋体" w:hAnsi="宋体" w:eastAsia="宋体" w:cs="宋体"/>
      <w:sz w:val="18"/>
      <w:szCs w:val="18"/>
      <w:lang w:val="zh-TW" w:eastAsia="zh-TW" w:bidi="zh-TW"/>
    </w:rPr>
  </w:style>
  <w:style w:type="character" w:customStyle="1" w:styleId="18">
    <w:name w:val="批注框文本 Char"/>
    <w:link w:val="2"/>
    <w:qFormat/>
    <w:uiPriority w:val="0"/>
    <w:rPr>
      <w:kern w:val="2"/>
      <w:sz w:val="18"/>
      <w:szCs w:val="18"/>
    </w:rPr>
  </w:style>
  <w:style w:type="character" w:customStyle="1" w:styleId="19">
    <w:name w:val="批注框文本 字符1"/>
    <w:basedOn w:val="7"/>
    <w:semiHidden/>
    <w:qFormat/>
    <w:uiPriority w:val="99"/>
    <w:rPr>
      <w:rFonts w:asciiTheme="minorHAnsi" w:hAnsiTheme="minorHAnsi" w:cstheme="minorBidi"/>
      <w:kern w:val="2"/>
      <w:sz w:val="18"/>
      <w:szCs w:val="18"/>
    </w:rPr>
  </w:style>
  <w:style w:type="paragraph" w:customStyle="1" w:styleId="20">
    <w:name w:val="标准文件_二级条标题"/>
    <w:next w:val="1"/>
    <w:qFormat/>
    <w:uiPriority w:val="0"/>
    <w:pPr>
      <w:widowControl w:val="0"/>
      <w:numPr>
        <w:ilvl w:val="3"/>
        <w:numId w:val="1"/>
      </w:numPr>
      <w:spacing w:before="50" w:beforeLines="50" w:after="50" w:afterLines="50"/>
      <w:ind w:left="0"/>
      <w:jc w:val="both"/>
      <w:outlineLvl w:val="2"/>
    </w:pPr>
    <w:rPr>
      <w:rFonts w:ascii="黑体" w:hAnsi="Times New Roman" w:eastAsia="黑体" w:cs="Times New Roman"/>
      <w:sz w:val="21"/>
      <w:lang w:val="en-US" w:eastAsia="zh-CN" w:bidi="ar-SA"/>
    </w:rPr>
  </w:style>
  <w:style w:type="paragraph" w:customStyle="1" w:styleId="21">
    <w:name w:val="标准文件_三级条标题"/>
    <w:basedOn w:val="20"/>
    <w:next w:val="1"/>
    <w:qFormat/>
    <w:uiPriority w:val="0"/>
    <w:pPr>
      <w:widowControl/>
      <w:numPr>
        <w:ilvl w:val="4"/>
      </w:numPr>
      <w:outlineLvl w:val="3"/>
    </w:pPr>
  </w:style>
  <w:style w:type="paragraph" w:customStyle="1" w:styleId="22">
    <w:name w:val="标准文件_四级条标题"/>
    <w:next w:val="1"/>
    <w:qFormat/>
    <w:uiPriority w:val="0"/>
    <w:pPr>
      <w:widowControl w:val="0"/>
      <w:numPr>
        <w:ilvl w:val="5"/>
        <w:numId w:val="1"/>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23">
    <w:name w:val="标准文件_五级条标题"/>
    <w:next w:val="1"/>
    <w:qFormat/>
    <w:uiPriority w:val="0"/>
    <w:pPr>
      <w:widowControl w:val="0"/>
      <w:numPr>
        <w:ilvl w:val="6"/>
        <w:numId w:val="1"/>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24">
    <w:name w:val="标准文件_章标题"/>
    <w:next w:val="1"/>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25">
    <w:name w:val="标准文件_一级条标题"/>
    <w:basedOn w:val="24"/>
    <w:next w:val="1"/>
    <w:qFormat/>
    <w:uiPriority w:val="0"/>
    <w:pPr>
      <w:numPr>
        <w:ilvl w:val="2"/>
      </w:numPr>
      <w:spacing w:before="50" w:beforeLines="50" w:after="50" w:afterLines="50"/>
      <w:outlineLvl w:val="1"/>
    </w:pPr>
  </w:style>
  <w:style w:type="paragraph" w:customStyle="1" w:styleId="26">
    <w:name w:val="前言标题"/>
    <w:next w:val="1"/>
    <w:qFormat/>
    <w:uiPriority w:val="0"/>
    <w:pPr>
      <w:numPr>
        <w:ilvl w:val="0"/>
        <w:numId w:val="1"/>
      </w:numPr>
      <w:shd w:val="clear" w:color="FFFFFF" w:fill="FFFFFF"/>
      <w:spacing w:before="540" w:after="600"/>
      <w:jc w:val="center"/>
      <w:outlineLvl w:val="0"/>
    </w:pPr>
    <w:rPr>
      <w:rFonts w:ascii="黑体" w:hAnsi="Times New Roman" w:eastAsia="黑体" w:cs="Times New Roman"/>
      <w:sz w:val="3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1279</Words>
  <Characters>7292</Characters>
  <Lines>60</Lines>
  <Paragraphs>17</Paragraphs>
  <TotalTime>0</TotalTime>
  <ScaleCrop>false</ScaleCrop>
  <LinksUpToDate>false</LinksUpToDate>
  <CharactersWithSpaces>8554</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2020-07-07T23:26:00Z</dcterms:created>
  <dc:creator>赵康宏</dc:creator>
  <cp:lastModifiedBy>greatwall</cp:lastModifiedBy>
  <dcterms:modified xsi:type="dcterms:W3CDTF">2022-10-10T11:34:05Z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ICV">
    <vt:lpwstr>F14255FA49C44D66B51466A785337067</vt:lpwstr>
  </property>
</Properties>
</file>